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EDD150" w14:textId="610322FA" w:rsidR="00CA12E2" w:rsidRPr="002B451A" w:rsidRDefault="00F471E7" w:rsidP="001E0AE3">
      <w:pPr>
        <w:spacing w:line="240" w:lineRule="auto"/>
        <w:jc w:val="both"/>
        <w:rPr>
          <w:rFonts w:ascii="Times New Roman" w:hAnsi="Times New Roman" w:cs="Times New Roman"/>
          <w:b/>
          <w:sz w:val="24"/>
          <w:szCs w:val="24"/>
        </w:rPr>
      </w:pPr>
      <w:bookmarkStart w:id="0" w:name="_Hlk155591748"/>
      <w:r w:rsidRPr="002B451A">
        <w:rPr>
          <w:rFonts w:ascii="Times New Roman" w:hAnsi="Times New Roman" w:cs="Times New Roman"/>
          <w:b/>
          <w:sz w:val="24"/>
          <w:szCs w:val="24"/>
        </w:rPr>
        <w:t xml:space="preserve">OBRAZLOŽENJE OPĆEG DIJELA FINANCIJSKOG PLANA </w:t>
      </w:r>
    </w:p>
    <w:p w14:paraId="5061CD80" w14:textId="0B14F0A5" w:rsidR="00C05F57" w:rsidRPr="002B451A" w:rsidRDefault="00C05F57" w:rsidP="001E0AE3">
      <w:pPr>
        <w:spacing w:line="240" w:lineRule="auto"/>
        <w:jc w:val="both"/>
        <w:rPr>
          <w:rFonts w:ascii="Times New Roman" w:hAnsi="Times New Roman" w:cs="Times New Roman"/>
          <w:b/>
          <w:sz w:val="24"/>
          <w:szCs w:val="24"/>
          <w:u w:val="single"/>
        </w:rPr>
      </w:pPr>
      <w:r w:rsidRPr="002B451A">
        <w:rPr>
          <w:rFonts w:ascii="Times New Roman" w:hAnsi="Times New Roman" w:cs="Times New Roman"/>
          <w:b/>
          <w:sz w:val="24"/>
          <w:szCs w:val="24"/>
          <w:u w:val="single"/>
        </w:rPr>
        <w:t>21852 HRVATSKA AKADEMSKA ISTRAŽIVAČKA MREŽA – CARNET</w:t>
      </w:r>
    </w:p>
    <w:p w14:paraId="0E2B4DF4" w14:textId="4AAE4195" w:rsidR="00C05F57" w:rsidRPr="002B451A" w:rsidRDefault="00C05F57" w:rsidP="001E0AE3">
      <w:pPr>
        <w:spacing w:line="240" w:lineRule="auto"/>
        <w:jc w:val="both"/>
        <w:rPr>
          <w:rFonts w:ascii="Times New Roman" w:hAnsi="Times New Roman" w:cs="Times New Roman"/>
          <w:b/>
          <w:sz w:val="24"/>
          <w:szCs w:val="24"/>
        </w:rPr>
      </w:pPr>
    </w:p>
    <w:p w14:paraId="40A1DDAD" w14:textId="668E641B" w:rsidR="00AE2812" w:rsidRPr="002B451A" w:rsidRDefault="00F471E7" w:rsidP="001E0AE3">
      <w:pPr>
        <w:spacing w:line="240" w:lineRule="auto"/>
        <w:jc w:val="both"/>
        <w:rPr>
          <w:rFonts w:ascii="Times New Roman" w:hAnsi="Times New Roman" w:cs="Times New Roman"/>
          <w:b/>
          <w:sz w:val="24"/>
          <w:szCs w:val="24"/>
        </w:rPr>
      </w:pPr>
      <w:r w:rsidRPr="002B451A">
        <w:rPr>
          <w:rFonts w:ascii="Times New Roman" w:hAnsi="Times New Roman" w:cs="Times New Roman"/>
          <w:b/>
          <w:sz w:val="24"/>
          <w:szCs w:val="24"/>
        </w:rPr>
        <w:t>PRIHODI I PRIMICI</w:t>
      </w:r>
    </w:p>
    <w:p w14:paraId="7FA35272" w14:textId="77777777" w:rsidR="0088541C" w:rsidRPr="002B451A" w:rsidRDefault="0088541C" w:rsidP="001E0AE3">
      <w:pPr>
        <w:spacing w:line="240" w:lineRule="auto"/>
        <w:jc w:val="both"/>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846"/>
        <w:gridCol w:w="1420"/>
        <w:gridCol w:w="6429"/>
        <w:gridCol w:w="1781"/>
        <w:gridCol w:w="1781"/>
        <w:gridCol w:w="1737"/>
      </w:tblGrid>
      <w:tr w:rsidR="0088541C" w:rsidRPr="002B451A" w14:paraId="7A7E5C3A" w14:textId="77777777" w:rsidTr="00E33766">
        <w:trPr>
          <w:trHeight w:val="288"/>
        </w:trPr>
        <w:tc>
          <w:tcPr>
            <w:tcW w:w="846" w:type="dxa"/>
            <w:noWrap/>
            <w:hideMark/>
          </w:tcPr>
          <w:p w14:paraId="15B8C4CC" w14:textId="77777777" w:rsidR="0088541C" w:rsidRPr="002B451A" w:rsidRDefault="0088541C" w:rsidP="001E0AE3">
            <w:pPr>
              <w:jc w:val="both"/>
              <w:rPr>
                <w:rFonts w:ascii="Times New Roman" w:hAnsi="Times New Roman" w:cs="Times New Roman"/>
                <w:b/>
                <w:bCs/>
                <w:sz w:val="18"/>
                <w:szCs w:val="18"/>
              </w:rPr>
            </w:pPr>
            <w:r w:rsidRPr="002B451A">
              <w:rPr>
                <w:rFonts w:ascii="Times New Roman" w:hAnsi="Times New Roman" w:cs="Times New Roman"/>
                <w:b/>
                <w:bCs/>
                <w:sz w:val="18"/>
                <w:szCs w:val="18"/>
              </w:rPr>
              <w:t xml:space="preserve">IZVOR </w:t>
            </w:r>
          </w:p>
        </w:tc>
        <w:tc>
          <w:tcPr>
            <w:tcW w:w="1420" w:type="dxa"/>
            <w:noWrap/>
            <w:hideMark/>
          </w:tcPr>
          <w:p w14:paraId="6C62917C" w14:textId="77777777" w:rsidR="0088541C" w:rsidRPr="002B451A" w:rsidRDefault="0088541C" w:rsidP="001E0AE3">
            <w:pPr>
              <w:jc w:val="both"/>
              <w:rPr>
                <w:rFonts w:ascii="Times New Roman" w:hAnsi="Times New Roman" w:cs="Times New Roman"/>
                <w:b/>
                <w:bCs/>
                <w:sz w:val="18"/>
                <w:szCs w:val="18"/>
              </w:rPr>
            </w:pPr>
            <w:r w:rsidRPr="002B451A">
              <w:rPr>
                <w:rFonts w:ascii="Times New Roman" w:hAnsi="Times New Roman" w:cs="Times New Roman"/>
                <w:b/>
                <w:bCs/>
                <w:sz w:val="18"/>
                <w:szCs w:val="18"/>
              </w:rPr>
              <w:t>STAVKA</w:t>
            </w:r>
          </w:p>
        </w:tc>
        <w:tc>
          <w:tcPr>
            <w:tcW w:w="6429" w:type="dxa"/>
            <w:noWrap/>
            <w:hideMark/>
          </w:tcPr>
          <w:p w14:paraId="1C7437E9" w14:textId="77777777" w:rsidR="0088541C" w:rsidRPr="002B451A" w:rsidRDefault="0088541C" w:rsidP="001E0AE3">
            <w:pPr>
              <w:jc w:val="both"/>
              <w:rPr>
                <w:rFonts w:ascii="Times New Roman" w:hAnsi="Times New Roman" w:cs="Times New Roman"/>
                <w:b/>
                <w:bCs/>
                <w:sz w:val="18"/>
                <w:szCs w:val="18"/>
              </w:rPr>
            </w:pPr>
            <w:r w:rsidRPr="002B451A">
              <w:rPr>
                <w:rFonts w:ascii="Times New Roman" w:hAnsi="Times New Roman" w:cs="Times New Roman"/>
                <w:b/>
                <w:bCs/>
                <w:sz w:val="18"/>
                <w:szCs w:val="18"/>
              </w:rPr>
              <w:t>OPIS STAVKE</w:t>
            </w:r>
          </w:p>
        </w:tc>
        <w:tc>
          <w:tcPr>
            <w:tcW w:w="1781" w:type="dxa"/>
            <w:noWrap/>
            <w:hideMark/>
          </w:tcPr>
          <w:p w14:paraId="3191B4D8" w14:textId="24A10F3A" w:rsidR="0088541C" w:rsidRPr="002B451A" w:rsidRDefault="0088541C" w:rsidP="001E0AE3">
            <w:pPr>
              <w:jc w:val="both"/>
              <w:rPr>
                <w:rFonts w:ascii="Times New Roman" w:hAnsi="Times New Roman" w:cs="Times New Roman"/>
                <w:b/>
                <w:bCs/>
                <w:sz w:val="18"/>
                <w:szCs w:val="18"/>
              </w:rPr>
            </w:pPr>
            <w:r w:rsidRPr="002B451A">
              <w:rPr>
                <w:rFonts w:ascii="Times New Roman" w:hAnsi="Times New Roman" w:cs="Times New Roman"/>
                <w:b/>
                <w:bCs/>
                <w:sz w:val="18"/>
                <w:szCs w:val="18"/>
              </w:rPr>
              <w:t>PRIJEDLOG PLANA 202</w:t>
            </w:r>
            <w:r w:rsidR="00C057E6">
              <w:rPr>
                <w:rFonts w:ascii="Times New Roman" w:hAnsi="Times New Roman" w:cs="Times New Roman"/>
                <w:b/>
                <w:bCs/>
                <w:sz w:val="18"/>
                <w:szCs w:val="18"/>
              </w:rPr>
              <w:t>6</w:t>
            </w:r>
            <w:r w:rsidRPr="002B451A">
              <w:rPr>
                <w:rFonts w:ascii="Times New Roman" w:hAnsi="Times New Roman" w:cs="Times New Roman"/>
                <w:b/>
                <w:bCs/>
                <w:sz w:val="18"/>
                <w:szCs w:val="18"/>
              </w:rPr>
              <w:t xml:space="preserve">. </w:t>
            </w:r>
          </w:p>
        </w:tc>
        <w:tc>
          <w:tcPr>
            <w:tcW w:w="1781" w:type="dxa"/>
            <w:noWrap/>
            <w:hideMark/>
          </w:tcPr>
          <w:p w14:paraId="3DD39C15" w14:textId="7C85CDAA" w:rsidR="0088541C" w:rsidRPr="002B451A" w:rsidRDefault="0088541C" w:rsidP="001E0AE3">
            <w:pPr>
              <w:jc w:val="both"/>
              <w:rPr>
                <w:rFonts w:ascii="Times New Roman" w:hAnsi="Times New Roman" w:cs="Times New Roman"/>
                <w:b/>
                <w:bCs/>
                <w:sz w:val="18"/>
                <w:szCs w:val="18"/>
              </w:rPr>
            </w:pPr>
            <w:r w:rsidRPr="002B451A">
              <w:rPr>
                <w:rFonts w:ascii="Times New Roman" w:hAnsi="Times New Roman" w:cs="Times New Roman"/>
                <w:b/>
                <w:bCs/>
                <w:sz w:val="18"/>
                <w:szCs w:val="18"/>
              </w:rPr>
              <w:t>PRIJEDLOG PLANA 202</w:t>
            </w:r>
            <w:r w:rsidR="00C057E6">
              <w:rPr>
                <w:rFonts w:ascii="Times New Roman" w:hAnsi="Times New Roman" w:cs="Times New Roman"/>
                <w:b/>
                <w:bCs/>
                <w:sz w:val="18"/>
                <w:szCs w:val="18"/>
              </w:rPr>
              <w:t>7</w:t>
            </w:r>
            <w:r w:rsidRPr="002B451A">
              <w:rPr>
                <w:rFonts w:ascii="Times New Roman" w:hAnsi="Times New Roman" w:cs="Times New Roman"/>
                <w:b/>
                <w:bCs/>
                <w:sz w:val="18"/>
                <w:szCs w:val="18"/>
              </w:rPr>
              <w:t xml:space="preserve">. </w:t>
            </w:r>
          </w:p>
        </w:tc>
        <w:tc>
          <w:tcPr>
            <w:tcW w:w="1737" w:type="dxa"/>
            <w:noWrap/>
            <w:hideMark/>
          </w:tcPr>
          <w:p w14:paraId="7A17B4C1" w14:textId="2BAE79F7" w:rsidR="0088541C" w:rsidRPr="002B451A" w:rsidRDefault="0088541C" w:rsidP="001E0AE3">
            <w:pPr>
              <w:jc w:val="both"/>
              <w:rPr>
                <w:rFonts w:ascii="Times New Roman" w:hAnsi="Times New Roman" w:cs="Times New Roman"/>
                <w:b/>
                <w:bCs/>
                <w:sz w:val="18"/>
                <w:szCs w:val="18"/>
              </w:rPr>
            </w:pPr>
            <w:r w:rsidRPr="002B451A">
              <w:rPr>
                <w:rFonts w:ascii="Times New Roman" w:hAnsi="Times New Roman" w:cs="Times New Roman"/>
                <w:b/>
                <w:bCs/>
                <w:sz w:val="18"/>
                <w:szCs w:val="18"/>
              </w:rPr>
              <w:t>PRIJEDLOG PLANA 202</w:t>
            </w:r>
            <w:r w:rsidR="00C057E6">
              <w:rPr>
                <w:rFonts w:ascii="Times New Roman" w:hAnsi="Times New Roman" w:cs="Times New Roman"/>
                <w:b/>
                <w:bCs/>
                <w:sz w:val="18"/>
                <w:szCs w:val="18"/>
              </w:rPr>
              <w:t>8</w:t>
            </w:r>
            <w:r w:rsidRPr="002B451A">
              <w:rPr>
                <w:rFonts w:ascii="Times New Roman" w:hAnsi="Times New Roman" w:cs="Times New Roman"/>
                <w:b/>
                <w:bCs/>
                <w:sz w:val="18"/>
                <w:szCs w:val="18"/>
              </w:rPr>
              <w:t>.</w:t>
            </w:r>
          </w:p>
        </w:tc>
      </w:tr>
      <w:tr w:rsidR="00146740" w:rsidRPr="002B451A" w14:paraId="5FE1ED0A" w14:textId="77777777" w:rsidTr="00A558A2">
        <w:trPr>
          <w:trHeight w:val="288"/>
        </w:trPr>
        <w:tc>
          <w:tcPr>
            <w:tcW w:w="846" w:type="dxa"/>
            <w:noWrap/>
            <w:hideMark/>
          </w:tcPr>
          <w:p w14:paraId="5CA510AF" w14:textId="77777777" w:rsidR="00146740" w:rsidRPr="002B451A" w:rsidRDefault="00146740" w:rsidP="00146740">
            <w:pPr>
              <w:jc w:val="both"/>
              <w:rPr>
                <w:rFonts w:ascii="Times New Roman" w:hAnsi="Times New Roman" w:cs="Times New Roman"/>
                <w:sz w:val="18"/>
                <w:szCs w:val="18"/>
              </w:rPr>
            </w:pPr>
            <w:r w:rsidRPr="002B451A">
              <w:rPr>
                <w:rFonts w:ascii="Times New Roman" w:hAnsi="Times New Roman" w:cs="Times New Roman"/>
                <w:sz w:val="18"/>
                <w:szCs w:val="18"/>
              </w:rPr>
              <w:t>11</w:t>
            </w:r>
          </w:p>
        </w:tc>
        <w:tc>
          <w:tcPr>
            <w:tcW w:w="1420" w:type="dxa"/>
            <w:noWrap/>
            <w:vAlign w:val="center"/>
            <w:hideMark/>
          </w:tcPr>
          <w:p w14:paraId="437DEDE7" w14:textId="60784519" w:rsidR="00146740" w:rsidRPr="002B451A" w:rsidRDefault="00146740" w:rsidP="00146740">
            <w:pPr>
              <w:jc w:val="both"/>
              <w:rPr>
                <w:rFonts w:ascii="Times New Roman" w:hAnsi="Times New Roman" w:cs="Times New Roman"/>
                <w:sz w:val="18"/>
                <w:szCs w:val="18"/>
              </w:rPr>
            </w:pPr>
            <w:r w:rsidRPr="002B451A">
              <w:rPr>
                <w:rFonts w:ascii="Arial" w:hAnsi="Arial" w:cs="Arial"/>
                <w:b/>
                <w:bCs/>
                <w:sz w:val="16"/>
                <w:szCs w:val="16"/>
              </w:rPr>
              <w:t>67</w:t>
            </w:r>
            <w:r>
              <w:rPr>
                <w:rFonts w:ascii="Arial" w:hAnsi="Arial" w:cs="Arial"/>
                <w:b/>
                <w:bCs/>
                <w:sz w:val="16"/>
                <w:szCs w:val="16"/>
              </w:rPr>
              <w:t>11</w:t>
            </w:r>
            <w:r w:rsidRPr="002B451A">
              <w:rPr>
                <w:rFonts w:ascii="Arial" w:hAnsi="Arial" w:cs="Arial"/>
                <w:b/>
                <w:bCs/>
                <w:sz w:val="16"/>
                <w:szCs w:val="16"/>
              </w:rPr>
              <w:t xml:space="preserve">1 </w:t>
            </w:r>
          </w:p>
        </w:tc>
        <w:tc>
          <w:tcPr>
            <w:tcW w:w="6429" w:type="dxa"/>
            <w:noWrap/>
            <w:hideMark/>
          </w:tcPr>
          <w:p w14:paraId="511C9913" w14:textId="198DA5DD" w:rsidR="00146740" w:rsidRPr="002B451A" w:rsidRDefault="00146740" w:rsidP="00146740">
            <w:pPr>
              <w:jc w:val="both"/>
              <w:rPr>
                <w:rFonts w:ascii="Times New Roman" w:hAnsi="Times New Roman" w:cs="Times New Roman"/>
                <w:sz w:val="18"/>
                <w:szCs w:val="18"/>
              </w:rPr>
            </w:pPr>
            <w:r w:rsidRPr="002B451A">
              <w:rPr>
                <w:rFonts w:ascii="Times New Roman" w:hAnsi="Times New Roman" w:cs="Times New Roman"/>
                <w:sz w:val="18"/>
                <w:szCs w:val="18"/>
              </w:rPr>
              <w:t xml:space="preserve">Prihodi iz nadležnog proračuna za financiranje </w:t>
            </w:r>
            <w:r>
              <w:rPr>
                <w:rFonts w:ascii="Times New Roman" w:hAnsi="Times New Roman" w:cs="Times New Roman"/>
                <w:sz w:val="18"/>
                <w:szCs w:val="18"/>
              </w:rPr>
              <w:t>rashoda poslovanja</w:t>
            </w:r>
          </w:p>
        </w:tc>
        <w:tc>
          <w:tcPr>
            <w:tcW w:w="1781" w:type="dxa"/>
            <w:tcBorders>
              <w:top w:val="single" w:sz="4" w:space="0" w:color="000080"/>
              <w:left w:val="single" w:sz="4" w:space="0" w:color="000080"/>
              <w:bottom w:val="single" w:sz="4" w:space="0" w:color="000080"/>
              <w:right w:val="single" w:sz="4" w:space="0" w:color="000080"/>
            </w:tcBorders>
            <w:noWrap/>
          </w:tcPr>
          <w:p w14:paraId="512945CB" w14:textId="258AD09E" w:rsidR="00146740" w:rsidRPr="00E94D72" w:rsidRDefault="00146740" w:rsidP="00146740">
            <w:pPr>
              <w:jc w:val="both"/>
              <w:rPr>
                <w:rFonts w:ascii="Times New Roman" w:hAnsi="Times New Roman" w:cs="Times New Roman"/>
                <w:sz w:val="18"/>
                <w:szCs w:val="18"/>
              </w:rPr>
            </w:pPr>
            <w:r w:rsidRPr="00146740">
              <w:rPr>
                <w:rFonts w:ascii="Times New Roman" w:hAnsi="Times New Roman" w:cs="Times New Roman"/>
                <w:sz w:val="18"/>
                <w:szCs w:val="18"/>
              </w:rPr>
              <w:t>23.</w:t>
            </w:r>
            <w:r w:rsidR="00C207E8">
              <w:rPr>
                <w:rFonts w:ascii="Times New Roman" w:hAnsi="Times New Roman" w:cs="Times New Roman"/>
                <w:sz w:val="18"/>
                <w:szCs w:val="18"/>
              </w:rPr>
              <w:t>1</w:t>
            </w:r>
            <w:r w:rsidRPr="00146740">
              <w:rPr>
                <w:rFonts w:ascii="Times New Roman" w:hAnsi="Times New Roman" w:cs="Times New Roman"/>
                <w:sz w:val="18"/>
                <w:szCs w:val="18"/>
              </w:rPr>
              <w:t>12.399</w:t>
            </w:r>
          </w:p>
        </w:tc>
        <w:tc>
          <w:tcPr>
            <w:tcW w:w="1781" w:type="dxa"/>
            <w:tcBorders>
              <w:top w:val="single" w:sz="4" w:space="0" w:color="000080"/>
              <w:left w:val="single" w:sz="4" w:space="0" w:color="000080"/>
              <w:bottom w:val="single" w:sz="4" w:space="0" w:color="000080"/>
              <w:right w:val="single" w:sz="4" w:space="0" w:color="000080"/>
            </w:tcBorders>
            <w:noWrap/>
          </w:tcPr>
          <w:p w14:paraId="3767590F" w14:textId="64025E01" w:rsidR="00146740" w:rsidRPr="00E94D72" w:rsidRDefault="00146740" w:rsidP="00146740">
            <w:pPr>
              <w:jc w:val="both"/>
              <w:rPr>
                <w:rFonts w:ascii="Times New Roman" w:hAnsi="Times New Roman" w:cs="Times New Roman"/>
                <w:sz w:val="18"/>
                <w:szCs w:val="18"/>
              </w:rPr>
            </w:pPr>
            <w:r w:rsidRPr="00146740">
              <w:rPr>
                <w:rFonts w:ascii="Times New Roman" w:hAnsi="Times New Roman" w:cs="Times New Roman"/>
                <w:sz w:val="18"/>
                <w:szCs w:val="18"/>
              </w:rPr>
              <w:t>23.267.619</w:t>
            </w:r>
          </w:p>
        </w:tc>
        <w:tc>
          <w:tcPr>
            <w:tcW w:w="1737" w:type="dxa"/>
            <w:tcBorders>
              <w:top w:val="single" w:sz="4" w:space="0" w:color="000080"/>
              <w:left w:val="single" w:sz="4" w:space="0" w:color="000080"/>
              <w:bottom w:val="single" w:sz="4" w:space="0" w:color="000080"/>
              <w:right w:val="single" w:sz="4" w:space="0" w:color="000080"/>
            </w:tcBorders>
            <w:noWrap/>
          </w:tcPr>
          <w:p w14:paraId="12D065E6" w14:textId="47230721" w:rsidR="00146740" w:rsidRPr="00E94D72" w:rsidRDefault="00146740" w:rsidP="00146740">
            <w:pPr>
              <w:jc w:val="both"/>
              <w:rPr>
                <w:rFonts w:ascii="Times New Roman" w:hAnsi="Times New Roman" w:cs="Times New Roman"/>
                <w:sz w:val="18"/>
                <w:szCs w:val="18"/>
              </w:rPr>
            </w:pPr>
            <w:r w:rsidRPr="00146740">
              <w:rPr>
                <w:rFonts w:ascii="Times New Roman" w:hAnsi="Times New Roman" w:cs="Times New Roman"/>
                <w:sz w:val="18"/>
                <w:szCs w:val="18"/>
              </w:rPr>
              <w:t>22.201.169</w:t>
            </w:r>
          </w:p>
        </w:tc>
      </w:tr>
      <w:tr w:rsidR="00146740" w:rsidRPr="002B451A" w14:paraId="5B6EBA2A" w14:textId="77777777" w:rsidTr="00E33766">
        <w:trPr>
          <w:trHeight w:val="288"/>
        </w:trPr>
        <w:tc>
          <w:tcPr>
            <w:tcW w:w="846" w:type="dxa"/>
            <w:noWrap/>
          </w:tcPr>
          <w:p w14:paraId="6E67CCBC" w14:textId="189F81EE" w:rsidR="00146740" w:rsidRPr="002B451A" w:rsidRDefault="00146740" w:rsidP="00146740">
            <w:pPr>
              <w:jc w:val="both"/>
              <w:rPr>
                <w:rFonts w:ascii="Times New Roman" w:hAnsi="Times New Roman" w:cs="Times New Roman"/>
                <w:sz w:val="18"/>
                <w:szCs w:val="18"/>
              </w:rPr>
            </w:pPr>
            <w:r>
              <w:rPr>
                <w:rFonts w:ascii="Times New Roman" w:hAnsi="Times New Roman" w:cs="Times New Roman"/>
                <w:sz w:val="18"/>
                <w:szCs w:val="18"/>
              </w:rPr>
              <w:t>11</w:t>
            </w:r>
          </w:p>
        </w:tc>
        <w:tc>
          <w:tcPr>
            <w:tcW w:w="1420" w:type="dxa"/>
            <w:noWrap/>
            <w:vAlign w:val="center"/>
          </w:tcPr>
          <w:p w14:paraId="1F263625" w14:textId="6DB948C1" w:rsidR="00146740" w:rsidRPr="002B451A" w:rsidRDefault="00146740" w:rsidP="00146740">
            <w:pPr>
              <w:jc w:val="both"/>
              <w:rPr>
                <w:rFonts w:ascii="Arial" w:hAnsi="Arial" w:cs="Arial"/>
                <w:b/>
                <w:bCs/>
                <w:sz w:val="16"/>
                <w:szCs w:val="16"/>
              </w:rPr>
            </w:pPr>
            <w:r>
              <w:rPr>
                <w:rFonts w:ascii="Arial" w:hAnsi="Arial" w:cs="Arial"/>
                <w:b/>
                <w:bCs/>
                <w:sz w:val="16"/>
                <w:szCs w:val="16"/>
              </w:rPr>
              <w:t>67121</w:t>
            </w:r>
          </w:p>
        </w:tc>
        <w:tc>
          <w:tcPr>
            <w:tcW w:w="6429" w:type="dxa"/>
            <w:noWrap/>
          </w:tcPr>
          <w:p w14:paraId="17F7E802" w14:textId="2AB20382" w:rsidR="00146740" w:rsidRPr="002B451A" w:rsidRDefault="00146740" w:rsidP="00146740">
            <w:pPr>
              <w:jc w:val="both"/>
              <w:rPr>
                <w:rFonts w:ascii="Times New Roman" w:hAnsi="Times New Roman" w:cs="Times New Roman"/>
                <w:sz w:val="18"/>
                <w:szCs w:val="18"/>
              </w:rPr>
            </w:pPr>
            <w:r w:rsidRPr="002B451A">
              <w:rPr>
                <w:rFonts w:ascii="Times New Roman" w:hAnsi="Times New Roman" w:cs="Times New Roman"/>
                <w:sz w:val="18"/>
                <w:szCs w:val="18"/>
              </w:rPr>
              <w:t xml:space="preserve">Prihodi iz nadležnog proračuna za financiranje </w:t>
            </w:r>
            <w:r>
              <w:rPr>
                <w:rFonts w:ascii="Times New Roman" w:hAnsi="Times New Roman" w:cs="Times New Roman"/>
                <w:sz w:val="18"/>
                <w:szCs w:val="18"/>
              </w:rPr>
              <w:t>rashoda za nabavu nefinancijske imovine</w:t>
            </w:r>
          </w:p>
        </w:tc>
        <w:tc>
          <w:tcPr>
            <w:tcW w:w="1781" w:type="dxa"/>
            <w:tcBorders>
              <w:top w:val="single" w:sz="4" w:space="0" w:color="000080"/>
              <w:left w:val="single" w:sz="4" w:space="0" w:color="000080"/>
              <w:bottom w:val="single" w:sz="4" w:space="0" w:color="000080"/>
              <w:right w:val="single" w:sz="4" w:space="0" w:color="000080"/>
            </w:tcBorders>
            <w:noWrap/>
            <w:vAlign w:val="center"/>
          </w:tcPr>
          <w:p w14:paraId="1C8C61E8" w14:textId="07F83C16" w:rsidR="00146740" w:rsidRPr="00C057E6" w:rsidRDefault="00C207E8" w:rsidP="00146740">
            <w:pPr>
              <w:jc w:val="both"/>
              <w:rPr>
                <w:rFonts w:ascii="Times New Roman" w:hAnsi="Times New Roman" w:cs="Times New Roman"/>
                <w:sz w:val="18"/>
                <w:szCs w:val="18"/>
              </w:rPr>
            </w:pPr>
            <w:r>
              <w:rPr>
                <w:rFonts w:ascii="Times New Roman" w:hAnsi="Times New Roman" w:cs="Times New Roman"/>
                <w:sz w:val="18"/>
                <w:szCs w:val="18"/>
              </w:rPr>
              <w:t>6</w:t>
            </w:r>
            <w:r w:rsidR="00146740" w:rsidRPr="008A5295">
              <w:rPr>
                <w:rFonts w:ascii="Times New Roman" w:hAnsi="Times New Roman" w:cs="Times New Roman"/>
                <w:sz w:val="18"/>
                <w:szCs w:val="18"/>
              </w:rPr>
              <w:t>.069.895</w:t>
            </w:r>
          </w:p>
        </w:tc>
        <w:tc>
          <w:tcPr>
            <w:tcW w:w="1781" w:type="dxa"/>
            <w:tcBorders>
              <w:top w:val="single" w:sz="4" w:space="0" w:color="000080"/>
              <w:left w:val="single" w:sz="4" w:space="0" w:color="000080"/>
              <w:bottom w:val="single" w:sz="4" w:space="0" w:color="000080"/>
              <w:right w:val="single" w:sz="4" w:space="0" w:color="000080"/>
            </w:tcBorders>
            <w:noWrap/>
            <w:vAlign w:val="center"/>
          </w:tcPr>
          <w:p w14:paraId="5094B834" w14:textId="4218AA58" w:rsidR="00146740" w:rsidRPr="00C057E6" w:rsidRDefault="00146740" w:rsidP="00146740">
            <w:pPr>
              <w:jc w:val="both"/>
              <w:rPr>
                <w:rFonts w:ascii="Times New Roman" w:hAnsi="Times New Roman" w:cs="Times New Roman"/>
                <w:sz w:val="18"/>
                <w:szCs w:val="18"/>
              </w:rPr>
            </w:pPr>
            <w:r w:rsidRPr="008A5295">
              <w:rPr>
                <w:rFonts w:ascii="Times New Roman" w:hAnsi="Times New Roman" w:cs="Times New Roman"/>
                <w:sz w:val="18"/>
                <w:szCs w:val="18"/>
              </w:rPr>
              <w:t>1.980.605</w:t>
            </w:r>
          </w:p>
        </w:tc>
        <w:tc>
          <w:tcPr>
            <w:tcW w:w="1737" w:type="dxa"/>
            <w:tcBorders>
              <w:top w:val="single" w:sz="4" w:space="0" w:color="000080"/>
              <w:left w:val="single" w:sz="4" w:space="0" w:color="000080"/>
              <w:bottom w:val="single" w:sz="4" w:space="0" w:color="000080"/>
              <w:right w:val="single" w:sz="4" w:space="0" w:color="000080"/>
            </w:tcBorders>
            <w:noWrap/>
            <w:vAlign w:val="center"/>
          </w:tcPr>
          <w:p w14:paraId="746B8232" w14:textId="474BCF1B" w:rsidR="00146740" w:rsidRPr="00C057E6" w:rsidRDefault="00146740" w:rsidP="00146740">
            <w:pPr>
              <w:jc w:val="both"/>
              <w:rPr>
                <w:rFonts w:ascii="Times New Roman" w:hAnsi="Times New Roman" w:cs="Times New Roman"/>
                <w:sz w:val="18"/>
                <w:szCs w:val="18"/>
              </w:rPr>
            </w:pPr>
            <w:r w:rsidRPr="008A5295">
              <w:rPr>
                <w:rFonts w:ascii="Times New Roman" w:hAnsi="Times New Roman" w:cs="Times New Roman"/>
                <w:sz w:val="18"/>
                <w:szCs w:val="18"/>
              </w:rPr>
              <w:t>1.857.355</w:t>
            </w:r>
          </w:p>
        </w:tc>
      </w:tr>
      <w:tr w:rsidR="00D2741E" w:rsidRPr="002B451A" w14:paraId="2841253F" w14:textId="77777777" w:rsidTr="00E33766">
        <w:trPr>
          <w:trHeight w:val="288"/>
        </w:trPr>
        <w:tc>
          <w:tcPr>
            <w:tcW w:w="846" w:type="dxa"/>
            <w:noWrap/>
          </w:tcPr>
          <w:p w14:paraId="0C3E7F02" w14:textId="0BF48B71" w:rsidR="00D2741E" w:rsidRDefault="00D2741E" w:rsidP="00D2741E">
            <w:pPr>
              <w:jc w:val="both"/>
              <w:rPr>
                <w:rFonts w:ascii="Times New Roman" w:hAnsi="Times New Roman" w:cs="Times New Roman"/>
                <w:sz w:val="18"/>
                <w:szCs w:val="18"/>
              </w:rPr>
            </w:pPr>
            <w:r>
              <w:rPr>
                <w:rFonts w:ascii="Times New Roman" w:hAnsi="Times New Roman" w:cs="Times New Roman"/>
                <w:sz w:val="18"/>
                <w:szCs w:val="18"/>
              </w:rPr>
              <w:t>12</w:t>
            </w:r>
          </w:p>
        </w:tc>
        <w:tc>
          <w:tcPr>
            <w:tcW w:w="1420" w:type="dxa"/>
            <w:noWrap/>
            <w:vAlign w:val="center"/>
          </w:tcPr>
          <w:p w14:paraId="549B18B6" w14:textId="1CE7CD82" w:rsidR="00D2741E" w:rsidRDefault="00D2741E" w:rsidP="00D2741E">
            <w:pPr>
              <w:jc w:val="both"/>
              <w:rPr>
                <w:rFonts w:ascii="Arial" w:hAnsi="Arial" w:cs="Arial"/>
                <w:b/>
                <w:bCs/>
                <w:sz w:val="16"/>
                <w:szCs w:val="16"/>
              </w:rPr>
            </w:pPr>
            <w:r w:rsidRPr="002B451A">
              <w:rPr>
                <w:rFonts w:ascii="Arial" w:hAnsi="Arial" w:cs="Arial"/>
                <w:b/>
                <w:bCs/>
                <w:sz w:val="16"/>
                <w:szCs w:val="16"/>
              </w:rPr>
              <w:t>67</w:t>
            </w:r>
            <w:r>
              <w:rPr>
                <w:rFonts w:ascii="Arial" w:hAnsi="Arial" w:cs="Arial"/>
                <w:b/>
                <w:bCs/>
                <w:sz w:val="16"/>
                <w:szCs w:val="16"/>
              </w:rPr>
              <w:t>11</w:t>
            </w:r>
            <w:r w:rsidRPr="002B451A">
              <w:rPr>
                <w:rFonts w:ascii="Arial" w:hAnsi="Arial" w:cs="Arial"/>
                <w:b/>
                <w:bCs/>
                <w:sz w:val="16"/>
                <w:szCs w:val="16"/>
              </w:rPr>
              <w:t xml:space="preserve">1 </w:t>
            </w:r>
          </w:p>
        </w:tc>
        <w:tc>
          <w:tcPr>
            <w:tcW w:w="6429" w:type="dxa"/>
            <w:noWrap/>
          </w:tcPr>
          <w:p w14:paraId="5D0FE5AB" w14:textId="033F2980" w:rsidR="00D2741E" w:rsidRPr="002B451A" w:rsidRDefault="00D2741E" w:rsidP="00D2741E">
            <w:pPr>
              <w:jc w:val="both"/>
              <w:rPr>
                <w:rFonts w:ascii="Times New Roman" w:hAnsi="Times New Roman" w:cs="Times New Roman"/>
                <w:sz w:val="18"/>
                <w:szCs w:val="18"/>
              </w:rPr>
            </w:pPr>
            <w:r w:rsidRPr="002B451A">
              <w:rPr>
                <w:rFonts w:ascii="Times New Roman" w:hAnsi="Times New Roman" w:cs="Times New Roman"/>
                <w:sz w:val="18"/>
                <w:szCs w:val="18"/>
              </w:rPr>
              <w:t xml:space="preserve">Prihodi iz nadležnog proračuna za financiranje </w:t>
            </w:r>
            <w:r>
              <w:rPr>
                <w:rFonts w:ascii="Times New Roman" w:hAnsi="Times New Roman" w:cs="Times New Roman"/>
                <w:sz w:val="18"/>
                <w:szCs w:val="18"/>
              </w:rPr>
              <w:t>rashoda poslovanja</w:t>
            </w:r>
          </w:p>
        </w:tc>
        <w:tc>
          <w:tcPr>
            <w:tcW w:w="1781" w:type="dxa"/>
            <w:tcBorders>
              <w:top w:val="single" w:sz="4" w:space="0" w:color="000080"/>
              <w:left w:val="single" w:sz="4" w:space="0" w:color="000080"/>
              <w:bottom w:val="single" w:sz="4" w:space="0" w:color="000080"/>
              <w:right w:val="single" w:sz="4" w:space="0" w:color="000080"/>
            </w:tcBorders>
            <w:noWrap/>
            <w:vAlign w:val="center"/>
          </w:tcPr>
          <w:p w14:paraId="45EAAC02" w14:textId="2FD4A513" w:rsidR="00D2741E" w:rsidRPr="008A5295"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2.025.207</w:t>
            </w:r>
          </w:p>
        </w:tc>
        <w:tc>
          <w:tcPr>
            <w:tcW w:w="1781" w:type="dxa"/>
            <w:tcBorders>
              <w:top w:val="single" w:sz="4" w:space="0" w:color="000080"/>
              <w:left w:val="single" w:sz="4" w:space="0" w:color="000080"/>
              <w:bottom w:val="single" w:sz="4" w:space="0" w:color="000080"/>
              <w:right w:val="single" w:sz="4" w:space="0" w:color="000080"/>
            </w:tcBorders>
            <w:noWrap/>
            <w:vAlign w:val="center"/>
          </w:tcPr>
          <w:p w14:paraId="56D5AF3A" w14:textId="0BCD998E" w:rsidR="00D2741E" w:rsidRPr="008A5295"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2.175.884</w:t>
            </w:r>
          </w:p>
        </w:tc>
        <w:tc>
          <w:tcPr>
            <w:tcW w:w="1737" w:type="dxa"/>
            <w:tcBorders>
              <w:top w:val="single" w:sz="4" w:space="0" w:color="000080"/>
              <w:left w:val="single" w:sz="4" w:space="0" w:color="000080"/>
              <w:bottom w:val="single" w:sz="4" w:space="0" w:color="000080"/>
              <w:right w:val="single" w:sz="4" w:space="0" w:color="000080"/>
            </w:tcBorders>
            <w:noWrap/>
            <w:vAlign w:val="center"/>
          </w:tcPr>
          <w:p w14:paraId="5EB0307D" w14:textId="69889348" w:rsidR="00D2741E" w:rsidRPr="008A5295"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1.586.889</w:t>
            </w:r>
          </w:p>
        </w:tc>
      </w:tr>
      <w:tr w:rsidR="00D2741E" w:rsidRPr="002B451A" w14:paraId="4896178D" w14:textId="77777777" w:rsidTr="00E33766">
        <w:trPr>
          <w:trHeight w:val="288"/>
        </w:trPr>
        <w:tc>
          <w:tcPr>
            <w:tcW w:w="846" w:type="dxa"/>
            <w:noWrap/>
            <w:hideMark/>
          </w:tcPr>
          <w:p w14:paraId="794F7338" w14:textId="77777777" w:rsidR="00D2741E" w:rsidRPr="002B451A" w:rsidRDefault="00D2741E" w:rsidP="00D2741E">
            <w:pPr>
              <w:jc w:val="both"/>
              <w:rPr>
                <w:rFonts w:ascii="Times New Roman" w:hAnsi="Times New Roman" w:cs="Times New Roman"/>
                <w:sz w:val="18"/>
                <w:szCs w:val="18"/>
              </w:rPr>
            </w:pPr>
            <w:r w:rsidRPr="002B451A">
              <w:rPr>
                <w:rFonts w:ascii="Times New Roman" w:hAnsi="Times New Roman" w:cs="Times New Roman"/>
                <w:sz w:val="18"/>
                <w:szCs w:val="18"/>
              </w:rPr>
              <w:t>12</w:t>
            </w:r>
          </w:p>
        </w:tc>
        <w:tc>
          <w:tcPr>
            <w:tcW w:w="1420" w:type="dxa"/>
            <w:noWrap/>
            <w:vAlign w:val="center"/>
            <w:hideMark/>
          </w:tcPr>
          <w:p w14:paraId="78041C55" w14:textId="13FB594A" w:rsidR="00D2741E" w:rsidRPr="002B451A" w:rsidRDefault="00D2741E" w:rsidP="00D2741E">
            <w:pPr>
              <w:jc w:val="both"/>
              <w:rPr>
                <w:rFonts w:ascii="Times New Roman" w:hAnsi="Times New Roman" w:cs="Times New Roman"/>
                <w:sz w:val="18"/>
                <w:szCs w:val="18"/>
              </w:rPr>
            </w:pPr>
            <w:r>
              <w:rPr>
                <w:rFonts w:ascii="Arial" w:hAnsi="Arial" w:cs="Arial"/>
                <w:b/>
                <w:bCs/>
                <w:sz w:val="16"/>
                <w:szCs w:val="16"/>
              </w:rPr>
              <w:t xml:space="preserve">67121 </w:t>
            </w:r>
          </w:p>
        </w:tc>
        <w:tc>
          <w:tcPr>
            <w:tcW w:w="6429" w:type="dxa"/>
            <w:noWrap/>
            <w:hideMark/>
          </w:tcPr>
          <w:p w14:paraId="50BFE5C9" w14:textId="7531A031" w:rsidR="00D2741E" w:rsidRPr="002B451A" w:rsidRDefault="00D2741E" w:rsidP="00D2741E">
            <w:pPr>
              <w:jc w:val="both"/>
              <w:rPr>
                <w:rFonts w:ascii="Times New Roman" w:hAnsi="Times New Roman" w:cs="Times New Roman"/>
                <w:sz w:val="18"/>
                <w:szCs w:val="18"/>
              </w:rPr>
            </w:pPr>
            <w:r w:rsidRPr="002B451A">
              <w:rPr>
                <w:rFonts w:ascii="Times New Roman" w:hAnsi="Times New Roman" w:cs="Times New Roman"/>
                <w:sz w:val="18"/>
                <w:szCs w:val="18"/>
              </w:rPr>
              <w:t xml:space="preserve">Prihodi iz nadležnog proračuna za financiranje </w:t>
            </w:r>
            <w:r>
              <w:rPr>
                <w:rFonts w:ascii="Times New Roman" w:hAnsi="Times New Roman" w:cs="Times New Roman"/>
                <w:sz w:val="18"/>
                <w:szCs w:val="18"/>
              </w:rPr>
              <w:t>rashoda za nabavu nefinancijske imovine</w:t>
            </w:r>
          </w:p>
        </w:tc>
        <w:tc>
          <w:tcPr>
            <w:tcW w:w="1781" w:type="dxa"/>
            <w:tcBorders>
              <w:top w:val="nil"/>
              <w:left w:val="single" w:sz="4" w:space="0" w:color="000080"/>
              <w:bottom w:val="single" w:sz="4" w:space="0" w:color="000080"/>
              <w:right w:val="single" w:sz="4" w:space="0" w:color="000080"/>
            </w:tcBorders>
            <w:noWrap/>
            <w:vAlign w:val="center"/>
          </w:tcPr>
          <w:p w14:paraId="6CDF2210" w14:textId="562D42BC" w:rsidR="00D2741E" w:rsidRPr="00E94D72"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97.430</w:t>
            </w:r>
          </w:p>
        </w:tc>
        <w:tc>
          <w:tcPr>
            <w:tcW w:w="1781" w:type="dxa"/>
            <w:tcBorders>
              <w:top w:val="nil"/>
              <w:left w:val="single" w:sz="4" w:space="0" w:color="000080"/>
              <w:bottom w:val="single" w:sz="4" w:space="0" w:color="000080"/>
              <w:right w:val="single" w:sz="4" w:space="0" w:color="000080"/>
            </w:tcBorders>
            <w:noWrap/>
            <w:vAlign w:val="center"/>
          </w:tcPr>
          <w:p w14:paraId="472ABC0B" w14:textId="61CC88A0" w:rsidR="00D2741E" w:rsidRPr="00E94D72"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67.535</w:t>
            </w:r>
          </w:p>
        </w:tc>
        <w:tc>
          <w:tcPr>
            <w:tcW w:w="1737" w:type="dxa"/>
            <w:tcBorders>
              <w:top w:val="nil"/>
              <w:left w:val="single" w:sz="4" w:space="0" w:color="000080"/>
              <w:bottom w:val="single" w:sz="4" w:space="0" w:color="000080"/>
              <w:right w:val="single" w:sz="4" w:space="0" w:color="000080"/>
            </w:tcBorders>
            <w:noWrap/>
            <w:vAlign w:val="center"/>
          </w:tcPr>
          <w:p w14:paraId="4D7CD221" w14:textId="34026073" w:rsidR="00D2741E" w:rsidRPr="00E94D72"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67.535</w:t>
            </w:r>
          </w:p>
        </w:tc>
      </w:tr>
      <w:tr w:rsidR="00D2741E" w:rsidRPr="002B451A" w14:paraId="3EB13D4E" w14:textId="77777777" w:rsidTr="00E33766">
        <w:trPr>
          <w:trHeight w:val="288"/>
        </w:trPr>
        <w:tc>
          <w:tcPr>
            <w:tcW w:w="846" w:type="dxa"/>
            <w:noWrap/>
            <w:hideMark/>
          </w:tcPr>
          <w:p w14:paraId="411254B7" w14:textId="77777777" w:rsidR="00D2741E" w:rsidRPr="002B451A" w:rsidRDefault="00D2741E" w:rsidP="00D2741E">
            <w:pPr>
              <w:jc w:val="both"/>
              <w:rPr>
                <w:rFonts w:ascii="Times New Roman" w:hAnsi="Times New Roman" w:cs="Times New Roman"/>
                <w:sz w:val="18"/>
                <w:szCs w:val="18"/>
              </w:rPr>
            </w:pPr>
            <w:r w:rsidRPr="002B451A">
              <w:rPr>
                <w:rFonts w:ascii="Times New Roman" w:hAnsi="Times New Roman" w:cs="Times New Roman"/>
                <w:sz w:val="18"/>
                <w:szCs w:val="18"/>
              </w:rPr>
              <w:t>31</w:t>
            </w:r>
          </w:p>
        </w:tc>
        <w:tc>
          <w:tcPr>
            <w:tcW w:w="1420" w:type="dxa"/>
            <w:noWrap/>
            <w:vAlign w:val="center"/>
            <w:hideMark/>
          </w:tcPr>
          <w:p w14:paraId="7748B7CF" w14:textId="0BDB6A5F" w:rsidR="00D2741E" w:rsidRPr="002B451A" w:rsidRDefault="00D2741E" w:rsidP="00D2741E">
            <w:pPr>
              <w:jc w:val="both"/>
              <w:rPr>
                <w:rFonts w:ascii="Times New Roman" w:hAnsi="Times New Roman" w:cs="Times New Roman"/>
                <w:sz w:val="18"/>
                <w:szCs w:val="18"/>
              </w:rPr>
            </w:pPr>
            <w:r w:rsidRPr="002B451A">
              <w:rPr>
                <w:rFonts w:ascii="Arial" w:hAnsi="Arial" w:cs="Arial"/>
                <w:b/>
                <w:bCs/>
                <w:sz w:val="16"/>
                <w:szCs w:val="16"/>
              </w:rPr>
              <w:t>6615</w:t>
            </w:r>
            <w:r>
              <w:rPr>
                <w:rFonts w:ascii="Arial" w:hAnsi="Arial" w:cs="Arial"/>
                <w:b/>
                <w:bCs/>
                <w:sz w:val="16"/>
                <w:szCs w:val="16"/>
              </w:rPr>
              <w:t>1</w:t>
            </w:r>
          </w:p>
        </w:tc>
        <w:tc>
          <w:tcPr>
            <w:tcW w:w="6429" w:type="dxa"/>
            <w:noWrap/>
            <w:hideMark/>
          </w:tcPr>
          <w:p w14:paraId="3BC07D68" w14:textId="77777777" w:rsidR="00D2741E" w:rsidRPr="002B451A" w:rsidRDefault="00D2741E" w:rsidP="00D2741E">
            <w:pPr>
              <w:jc w:val="both"/>
              <w:rPr>
                <w:rFonts w:ascii="Times New Roman" w:hAnsi="Times New Roman" w:cs="Times New Roman"/>
                <w:sz w:val="18"/>
                <w:szCs w:val="18"/>
              </w:rPr>
            </w:pPr>
            <w:r w:rsidRPr="002B451A">
              <w:rPr>
                <w:rFonts w:ascii="Times New Roman" w:hAnsi="Times New Roman" w:cs="Times New Roman"/>
                <w:sz w:val="18"/>
                <w:szCs w:val="18"/>
              </w:rPr>
              <w:t>Prihodi od pruženih usluga</w:t>
            </w:r>
          </w:p>
        </w:tc>
        <w:tc>
          <w:tcPr>
            <w:tcW w:w="1781" w:type="dxa"/>
            <w:tcBorders>
              <w:top w:val="nil"/>
              <w:left w:val="single" w:sz="4" w:space="0" w:color="000080"/>
              <w:bottom w:val="single" w:sz="4" w:space="0" w:color="000080"/>
              <w:right w:val="single" w:sz="4" w:space="0" w:color="000080"/>
            </w:tcBorders>
            <w:noWrap/>
            <w:vAlign w:val="center"/>
          </w:tcPr>
          <w:p w14:paraId="6297C656" w14:textId="23A577CC" w:rsidR="00D2741E" w:rsidRPr="00E94D72"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3.000</w:t>
            </w:r>
          </w:p>
        </w:tc>
        <w:tc>
          <w:tcPr>
            <w:tcW w:w="1781" w:type="dxa"/>
            <w:tcBorders>
              <w:top w:val="nil"/>
              <w:left w:val="single" w:sz="4" w:space="0" w:color="000080"/>
              <w:bottom w:val="single" w:sz="4" w:space="0" w:color="000080"/>
              <w:right w:val="single" w:sz="4" w:space="0" w:color="000080"/>
            </w:tcBorders>
            <w:noWrap/>
            <w:vAlign w:val="center"/>
          </w:tcPr>
          <w:p w14:paraId="73A0BCFC" w14:textId="558584AA" w:rsidR="00D2741E" w:rsidRPr="00E94D72"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3.000</w:t>
            </w:r>
          </w:p>
        </w:tc>
        <w:tc>
          <w:tcPr>
            <w:tcW w:w="1737" w:type="dxa"/>
            <w:tcBorders>
              <w:top w:val="nil"/>
              <w:left w:val="single" w:sz="4" w:space="0" w:color="000080"/>
              <w:bottom w:val="single" w:sz="4" w:space="0" w:color="000080"/>
              <w:right w:val="single" w:sz="4" w:space="0" w:color="000080"/>
            </w:tcBorders>
            <w:noWrap/>
            <w:vAlign w:val="center"/>
          </w:tcPr>
          <w:p w14:paraId="787F1764" w14:textId="5B461A4A" w:rsidR="00D2741E" w:rsidRPr="00E94D72"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3.000</w:t>
            </w:r>
          </w:p>
        </w:tc>
      </w:tr>
      <w:tr w:rsidR="00D2741E" w:rsidRPr="002B451A" w14:paraId="2025A8A2" w14:textId="77777777" w:rsidTr="00E33766">
        <w:trPr>
          <w:trHeight w:val="288"/>
        </w:trPr>
        <w:tc>
          <w:tcPr>
            <w:tcW w:w="846" w:type="dxa"/>
            <w:noWrap/>
            <w:hideMark/>
          </w:tcPr>
          <w:p w14:paraId="3089BB6B" w14:textId="77777777" w:rsidR="00D2741E" w:rsidRPr="002B451A" w:rsidRDefault="00D2741E" w:rsidP="00D2741E">
            <w:pPr>
              <w:jc w:val="both"/>
              <w:rPr>
                <w:rFonts w:ascii="Times New Roman" w:hAnsi="Times New Roman" w:cs="Times New Roman"/>
                <w:sz w:val="18"/>
                <w:szCs w:val="18"/>
              </w:rPr>
            </w:pPr>
            <w:r w:rsidRPr="002B451A">
              <w:rPr>
                <w:rFonts w:ascii="Times New Roman" w:hAnsi="Times New Roman" w:cs="Times New Roman"/>
                <w:sz w:val="18"/>
                <w:szCs w:val="18"/>
              </w:rPr>
              <w:t>43</w:t>
            </w:r>
          </w:p>
        </w:tc>
        <w:tc>
          <w:tcPr>
            <w:tcW w:w="1420" w:type="dxa"/>
            <w:noWrap/>
            <w:vAlign w:val="center"/>
            <w:hideMark/>
          </w:tcPr>
          <w:p w14:paraId="2EE7C8CC" w14:textId="1E2A1453" w:rsidR="00D2741E" w:rsidRPr="002B451A" w:rsidRDefault="00D2741E" w:rsidP="00D2741E">
            <w:pPr>
              <w:jc w:val="both"/>
              <w:rPr>
                <w:rFonts w:ascii="Times New Roman" w:hAnsi="Times New Roman" w:cs="Times New Roman"/>
                <w:sz w:val="18"/>
                <w:szCs w:val="18"/>
              </w:rPr>
            </w:pPr>
            <w:r w:rsidRPr="002B451A">
              <w:rPr>
                <w:rFonts w:ascii="Arial" w:hAnsi="Arial" w:cs="Arial"/>
                <w:b/>
                <w:bCs/>
                <w:sz w:val="16"/>
                <w:szCs w:val="16"/>
              </w:rPr>
              <w:t>65268</w:t>
            </w:r>
          </w:p>
        </w:tc>
        <w:tc>
          <w:tcPr>
            <w:tcW w:w="6429" w:type="dxa"/>
            <w:noWrap/>
            <w:hideMark/>
          </w:tcPr>
          <w:p w14:paraId="0D0EF42F" w14:textId="77777777" w:rsidR="00D2741E" w:rsidRPr="002B451A" w:rsidRDefault="00D2741E" w:rsidP="00D2741E">
            <w:pPr>
              <w:jc w:val="both"/>
              <w:rPr>
                <w:rFonts w:ascii="Times New Roman" w:hAnsi="Times New Roman" w:cs="Times New Roman"/>
                <w:sz w:val="18"/>
                <w:szCs w:val="18"/>
              </w:rPr>
            </w:pPr>
            <w:r w:rsidRPr="002B451A">
              <w:rPr>
                <w:rFonts w:ascii="Times New Roman" w:hAnsi="Times New Roman" w:cs="Times New Roman"/>
                <w:sz w:val="18"/>
                <w:szCs w:val="18"/>
              </w:rPr>
              <w:t>Ostali prihodi za posebne namjene</w:t>
            </w:r>
          </w:p>
        </w:tc>
        <w:tc>
          <w:tcPr>
            <w:tcW w:w="1781" w:type="dxa"/>
            <w:tcBorders>
              <w:top w:val="nil"/>
              <w:left w:val="single" w:sz="4" w:space="0" w:color="000080"/>
              <w:bottom w:val="single" w:sz="4" w:space="0" w:color="000080"/>
              <w:right w:val="single" w:sz="4" w:space="0" w:color="000080"/>
            </w:tcBorders>
            <w:noWrap/>
            <w:vAlign w:val="center"/>
          </w:tcPr>
          <w:p w14:paraId="11BA59C9" w14:textId="53831030" w:rsidR="00D2741E" w:rsidRPr="00E94D72"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2.000.000</w:t>
            </w:r>
          </w:p>
        </w:tc>
        <w:tc>
          <w:tcPr>
            <w:tcW w:w="1781" w:type="dxa"/>
            <w:tcBorders>
              <w:top w:val="nil"/>
              <w:left w:val="single" w:sz="4" w:space="0" w:color="000080"/>
              <w:bottom w:val="single" w:sz="4" w:space="0" w:color="000080"/>
              <w:right w:val="single" w:sz="4" w:space="0" w:color="000080"/>
            </w:tcBorders>
            <w:noWrap/>
            <w:vAlign w:val="center"/>
          </w:tcPr>
          <w:p w14:paraId="35133C07" w14:textId="2E93D1A8" w:rsidR="00D2741E" w:rsidRPr="00E94D72"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2.000.000</w:t>
            </w:r>
          </w:p>
        </w:tc>
        <w:tc>
          <w:tcPr>
            <w:tcW w:w="1737" w:type="dxa"/>
            <w:tcBorders>
              <w:top w:val="nil"/>
              <w:left w:val="single" w:sz="4" w:space="0" w:color="000080"/>
              <w:bottom w:val="single" w:sz="4" w:space="0" w:color="000080"/>
              <w:right w:val="single" w:sz="4" w:space="0" w:color="000080"/>
            </w:tcBorders>
            <w:noWrap/>
            <w:vAlign w:val="center"/>
          </w:tcPr>
          <w:p w14:paraId="3DF2A160" w14:textId="3EEE074E" w:rsidR="00D2741E" w:rsidRPr="00E94D72"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2.000.000</w:t>
            </w:r>
          </w:p>
        </w:tc>
      </w:tr>
      <w:tr w:rsidR="00D2741E" w:rsidRPr="002B451A" w14:paraId="5A041930" w14:textId="77777777" w:rsidTr="00E33766">
        <w:trPr>
          <w:trHeight w:val="288"/>
        </w:trPr>
        <w:tc>
          <w:tcPr>
            <w:tcW w:w="846" w:type="dxa"/>
            <w:noWrap/>
          </w:tcPr>
          <w:p w14:paraId="016B1440" w14:textId="0F50C550" w:rsidR="00D2741E" w:rsidRPr="002B451A" w:rsidRDefault="00D2741E" w:rsidP="00D2741E">
            <w:pPr>
              <w:jc w:val="both"/>
              <w:rPr>
                <w:rFonts w:ascii="Times New Roman" w:hAnsi="Times New Roman" w:cs="Times New Roman"/>
                <w:sz w:val="18"/>
                <w:szCs w:val="18"/>
              </w:rPr>
            </w:pPr>
            <w:r>
              <w:rPr>
                <w:rFonts w:ascii="Times New Roman" w:hAnsi="Times New Roman" w:cs="Times New Roman"/>
                <w:sz w:val="18"/>
                <w:szCs w:val="18"/>
              </w:rPr>
              <w:t>561</w:t>
            </w:r>
          </w:p>
        </w:tc>
        <w:tc>
          <w:tcPr>
            <w:tcW w:w="1420" w:type="dxa"/>
            <w:noWrap/>
            <w:vAlign w:val="center"/>
          </w:tcPr>
          <w:p w14:paraId="03F49C84" w14:textId="6840ABA5" w:rsidR="00D2741E" w:rsidRPr="002B451A" w:rsidRDefault="00D2741E" w:rsidP="00D2741E">
            <w:pPr>
              <w:jc w:val="both"/>
              <w:rPr>
                <w:rFonts w:ascii="Arial" w:hAnsi="Arial" w:cs="Arial"/>
                <w:b/>
                <w:bCs/>
                <w:sz w:val="16"/>
                <w:szCs w:val="16"/>
              </w:rPr>
            </w:pPr>
            <w:r>
              <w:rPr>
                <w:rFonts w:ascii="Arial" w:hAnsi="Arial" w:cs="Arial"/>
                <w:b/>
                <w:bCs/>
                <w:sz w:val="16"/>
                <w:szCs w:val="16"/>
              </w:rPr>
              <w:t>67111</w:t>
            </w:r>
          </w:p>
        </w:tc>
        <w:tc>
          <w:tcPr>
            <w:tcW w:w="6429" w:type="dxa"/>
            <w:noWrap/>
          </w:tcPr>
          <w:p w14:paraId="5A252F72" w14:textId="1B5258CA" w:rsidR="00D2741E" w:rsidRPr="002B451A" w:rsidRDefault="00D2741E" w:rsidP="00D2741E">
            <w:pPr>
              <w:jc w:val="both"/>
              <w:rPr>
                <w:rFonts w:ascii="Times New Roman" w:hAnsi="Times New Roman" w:cs="Times New Roman"/>
                <w:sz w:val="18"/>
                <w:szCs w:val="18"/>
              </w:rPr>
            </w:pPr>
            <w:r w:rsidRPr="002B451A">
              <w:rPr>
                <w:rFonts w:ascii="Times New Roman" w:hAnsi="Times New Roman" w:cs="Times New Roman"/>
                <w:sz w:val="18"/>
                <w:szCs w:val="18"/>
              </w:rPr>
              <w:t xml:space="preserve">Prihodi iz nadležnog proračuna za financiranje </w:t>
            </w:r>
            <w:r>
              <w:rPr>
                <w:rFonts w:ascii="Times New Roman" w:hAnsi="Times New Roman" w:cs="Times New Roman"/>
                <w:sz w:val="18"/>
                <w:szCs w:val="18"/>
              </w:rPr>
              <w:t>rashoda poslovanja</w:t>
            </w:r>
          </w:p>
        </w:tc>
        <w:tc>
          <w:tcPr>
            <w:tcW w:w="1781" w:type="dxa"/>
            <w:tcBorders>
              <w:top w:val="nil"/>
              <w:left w:val="single" w:sz="4" w:space="0" w:color="000080"/>
              <w:bottom w:val="single" w:sz="4" w:space="0" w:color="000080"/>
              <w:right w:val="single" w:sz="4" w:space="0" w:color="000080"/>
            </w:tcBorders>
            <w:noWrap/>
            <w:vAlign w:val="center"/>
          </w:tcPr>
          <w:p w14:paraId="5F9A164A" w14:textId="74883104" w:rsidR="00D2741E"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3.104.595</w:t>
            </w:r>
          </w:p>
        </w:tc>
        <w:tc>
          <w:tcPr>
            <w:tcW w:w="1781" w:type="dxa"/>
            <w:tcBorders>
              <w:top w:val="nil"/>
              <w:left w:val="single" w:sz="4" w:space="0" w:color="000080"/>
              <w:bottom w:val="single" w:sz="4" w:space="0" w:color="000080"/>
              <w:right w:val="single" w:sz="4" w:space="0" w:color="000080"/>
            </w:tcBorders>
            <w:noWrap/>
            <w:vAlign w:val="center"/>
          </w:tcPr>
          <w:p w14:paraId="355608B9" w14:textId="0DD6CD8F" w:rsidR="00D2741E"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2.773.736</w:t>
            </w:r>
          </w:p>
        </w:tc>
        <w:tc>
          <w:tcPr>
            <w:tcW w:w="1737" w:type="dxa"/>
            <w:tcBorders>
              <w:top w:val="nil"/>
              <w:left w:val="single" w:sz="4" w:space="0" w:color="000080"/>
              <w:bottom w:val="single" w:sz="4" w:space="0" w:color="000080"/>
              <w:right w:val="single" w:sz="4" w:space="0" w:color="000080"/>
            </w:tcBorders>
            <w:noWrap/>
            <w:vAlign w:val="center"/>
          </w:tcPr>
          <w:p w14:paraId="40997401" w14:textId="6C58058E" w:rsidR="00D2741E"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2.782.711</w:t>
            </w:r>
          </w:p>
        </w:tc>
      </w:tr>
      <w:tr w:rsidR="00D2741E" w:rsidRPr="002B451A" w14:paraId="37E00B74" w14:textId="77777777" w:rsidTr="00E33766">
        <w:trPr>
          <w:trHeight w:val="288"/>
        </w:trPr>
        <w:tc>
          <w:tcPr>
            <w:tcW w:w="846" w:type="dxa"/>
            <w:noWrap/>
          </w:tcPr>
          <w:p w14:paraId="1B7BEC64" w14:textId="1B47EA97" w:rsidR="00D2741E" w:rsidRDefault="00D2741E" w:rsidP="00D2741E">
            <w:pPr>
              <w:jc w:val="both"/>
              <w:rPr>
                <w:rFonts w:ascii="Times New Roman" w:hAnsi="Times New Roman" w:cs="Times New Roman"/>
                <w:sz w:val="18"/>
                <w:szCs w:val="18"/>
              </w:rPr>
            </w:pPr>
            <w:r>
              <w:rPr>
                <w:rFonts w:ascii="Times New Roman" w:hAnsi="Times New Roman" w:cs="Times New Roman"/>
                <w:sz w:val="18"/>
                <w:szCs w:val="18"/>
              </w:rPr>
              <w:t>561</w:t>
            </w:r>
          </w:p>
        </w:tc>
        <w:tc>
          <w:tcPr>
            <w:tcW w:w="1420" w:type="dxa"/>
            <w:noWrap/>
            <w:vAlign w:val="center"/>
          </w:tcPr>
          <w:p w14:paraId="7C2885CD" w14:textId="7425C84B" w:rsidR="00D2741E" w:rsidRDefault="00D2741E" w:rsidP="00D2741E">
            <w:pPr>
              <w:jc w:val="both"/>
              <w:rPr>
                <w:rFonts w:ascii="Arial" w:hAnsi="Arial" w:cs="Arial"/>
                <w:b/>
                <w:bCs/>
                <w:sz w:val="16"/>
                <w:szCs w:val="16"/>
              </w:rPr>
            </w:pPr>
            <w:r>
              <w:rPr>
                <w:rFonts w:ascii="Arial" w:hAnsi="Arial" w:cs="Arial"/>
                <w:b/>
                <w:bCs/>
                <w:sz w:val="16"/>
                <w:szCs w:val="16"/>
              </w:rPr>
              <w:t xml:space="preserve">67121 </w:t>
            </w:r>
          </w:p>
        </w:tc>
        <w:tc>
          <w:tcPr>
            <w:tcW w:w="6429" w:type="dxa"/>
            <w:noWrap/>
          </w:tcPr>
          <w:p w14:paraId="39A202A2" w14:textId="43EDBA6D" w:rsidR="00D2741E" w:rsidRPr="002B451A" w:rsidRDefault="00D2741E" w:rsidP="00D2741E">
            <w:pPr>
              <w:jc w:val="both"/>
              <w:rPr>
                <w:rFonts w:ascii="Times New Roman" w:hAnsi="Times New Roman" w:cs="Times New Roman"/>
                <w:sz w:val="18"/>
                <w:szCs w:val="18"/>
              </w:rPr>
            </w:pPr>
            <w:r w:rsidRPr="002B451A">
              <w:rPr>
                <w:rFonts w:ascii="Times New Roman" w:hAnsi="Times New Roman" w:cs="Times New Roman"/>
                <w:sz w:val="18"/>
                <w:szCs w:val="18"/>
              </w:rPr>
              <w:t xml:space="preserve">Prihodi iz nadležnog proračuna za financiranje </w:t>
            </w:r>
            <w:r>
              <w:rPr>
                <w:rFonts w:ascii="Times New Roman" w:hAnsi="Times New Roman" w:cs="Times New Roman"/>
                <w:sz w:val="18"/>
                <w:szCs w:val="18"/>
              </w:rPr>
              <w:t>rashoda za nabavu nefinancijske imovine</w:t>
            </w:r>
          </w:p>
        </w:tc>
        <w:tc>
          <w:tcPr>
            <w:tcW w:w="1781" w:type="dxa"/>
            <w:tcBorders>
              <w:top w:val="nil"/>
              <w:left w:val="single" w:sz="4" w:space="0" w:color="000080"/>
              <w:bottom w:val="single" w:sz="4" w:space="0" w:color="000080"/>
              <w:right w:val="single" w:sz="4" w:space="0" w:color="000080"/>
            </w:tcBorders>
            <w:noWrap/>
            <w:vAlign w:val="center"/>
          </w:tcPr>
          <w:p w14:paraId="174BCFC1" w14:textId="2DA7D3D8" w:rsidR="00D2741E" w:rsidRDefault="00C207E8" w:rsidP="00D2741E">
            <w:pPr>
              <w:jc w:val="both"/>
              <w:rPr>
                <w:rFonts w:ascii="Times New Roman" w:hAnsi="Times New Roman" w:cs="Times New Roman"/>
                <w:sz w:val="18"/>
                <w:szCs w:val="18"/>
              </w:rPr>
            </w:pPr>
            <w:r>
              <w:rPr>
                <w:rFonts w:ascii="Times New Roman" w:hAnsi="Times New Roman" w:cs="Times New Roman"/>
                <w:sz w:val="18"/>
                <w:szCs w:val="18"/>
              </w:rPr>
              <w:t>647.537</w:t>
            </w:r>
          </w:p>
        </w:tc>
        <w:tc>
          <w:tcPr>
            <w:tcW w:w="1781" w:type="dxa"/>
            <w:tcBorders>
              <w:top w:val="nil"/>
              <w:left w:val="single" w:sz="4" w:space="0" w:color="000080"/>
              <w:bottom w:val="single" w:sz="4" w:space="0" w:color="000080"/>
              <w:right w:val="single" w:sz="4" w:space="0" w:color="000080"/>
            </w:tcBorders>
            <w:noWrap/>
            <w:vAlign w:val="center"/>
          </w:tcPr>
          <w:p w14:paraId="526DDCDA" w14:textId="31974D76" w:rsidR="00D2741E" w:rsidRDefault="00C207E8" w:rsidP="00D2741E">
            <w:pPr>
              <w:jc w:val="both"/>
              <w:rPr>
                <w:rFonts w:ascii="Times New Roman" w:hAnsi="Times New Roman" w:cs="Times New Roman"/>
                <w:sz w:val="18"/>
                <w:szCs w:val="18"/>
              </w:rPr>
            </w:pPr>
            <w:r>
              <w:rPr>
                <w:rFonts w:ascii="Times New Roman" w:hAnsi="Times New Roman" w:cs="Times New Roman"/>
                <w:sz w:val="18"/>
                <w:szCs w:val="18"/>
              </w:rPr>
              <w:t>914.843</w:t>
            </w:r>
          </w:p>
        </w:tc>
        <w:tc>
          <w:tcPr>
            <w:tcW w:w="1737" w:type="dxa"/>
            <w:tcBorders>
              <w:top w:val="nil"/>
              <w:left w:val="single" w:sz="4" w:space="0" w:color="000080"/>
              <w:bottom w:val="single" w:sz="4" w:space="0" w:color="000080"/>
              <w:right w:val="single" w:sz="4" w:space="0" w:color="000080"/>
            </w:tcBorders>
            <w:noWrap/>
            <w:vAlign w:val="center"/>
          </w:tcPr>
          <w:p w14:paraId="5BBE8ACF" w14:textId="300CFE64" w:rsidR="00D2741E"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1.181.951</w:t>
            </w:r>
          </w:p>
        </w:tc>
      </w:tr>
      <w:tr w:rsidR="00D2741E" w:rsidRPr="002B451A" w14:paraId="7D03468B" w14:textId="77777777" w:rsidTr="00E33766">
        <w:trPr>
          <w:trHeight w:val="288"/>
        </w:trPr>
        <w:tc>
          <w:tcPr>
            <w:tcW w:w="846" w:type="dxa"/>
            <w:noWrap/>
          </w:tcPr>
          <w:p w14:paraId="3C628424" w14:textId="3AE8B565" w:rsidR="00D2741E" w:rsidRDefault="00D2741E" w:rsidP="00D2741E">
            <w:pPr>
              <w:jc w:val="both"/>
              <w:rPr>
                <w:rFonts w:ascii="Times New Roman" w:hAnsi="Times New Roman" w:cs="Times New Roman"/>
                <w:sz w:val="18"/>
                <w:szCs w:val="18"/>
              </w:rPr>
            </w:pPr>
            <w:r>
              <w:rPr>
                <w:rFonts w:ascii="Times New Roman" w:hAnsi="Times New Roman" w:cs="Times New Roman"/>
                <w:sz w:val="18"/>
                <w:szCs w:val="18"/>
              </w:rPr>
              <w:t>581</w:t>
            </w:r>
          </w:p>
        </w:tc>
        <w:tc>
          <w:tcPr>
            <w:tcW w:w="1420" w:type="dxa"/>
            <w:noWrap/>
            <w:vAlign w:val="center"/>
          </w:tcPr>
          <w:p w14:paraId="2A74388A" w14:textId="39D96362" w:rsidR="00D2741E" w:rsidRDefault="00D2741E" w:rsidP="00D2741E">
            <w:pPr>
              <w:jc w:val="both"/>
              <w:rPr>
                <w:rFonts w:ascii="Arial" w:hAnsi="Arial" w:cs="Arial"/>
                <w:b/>
                <w:bCs/>
                <w:sz w:val="16"/>
                <w:szCs w:val="16"/>
              </w:rPr>
            </w:pPr>
            <w:r>
              <w:rPr>
                <w:rFonts w:ascii="Arial" w:hAnsi="Arial" w:cs="Arial"/>
                <w:b/>
                <w:bCs/>
                <w:sz w:val="16"/>
                <w:szCs w:val="16"/>
              </w:rPr>
              <w:t>67111</w:t>
            </w:r>
          </w:p>
        </w:tc>
        <w:tc>
          <w:tcPr>
            <w:tcW w:w="6429" w:type="dxa"/>
            <w:noWrap/>
          </w:tcPr>
          <w:p w14:paraId="47A9C958" w14:textId="6632049B" w:rsidR="00D2741E" w:rsidRDefault="00D2741E" w:rsidP="00D2741E">
            <w:pPr>
              <w:jc w:val="both"/>
              <w:rPr>
                <w:rFonts w:ascii="Times New Roman" w:hAnsi="Times New Roman" w:cs="Times New Roman"/>
                <w:sz w:val="18"/>
                <w:szCs w:val="18"/>
              </w:rPr>
            </w:pPr>
            <w:r w:rsidRPr="002B451A">
              <w:rPr>
                <w:rFonts w:ascii="Times New Roman" w:hAnsi="Times New Roman" w:cs="Times New Roman"/>
                <w:sz w:val="18"/>
                <w:szCs w:val="18"/>
              </w:rPr>
              <w:t xml:space="preserve">Prihodi iz nadležnog proračuna za financiranje </w:t>
            </w:r>
            <w:r>
              <w:rPr>
                <w:rFonts w:ascii="Times New Roman" w:hAnsi="Times New Roman" w:cs="Times New Roman"/>
                <w:sz w:val="18"/>
                <w:szCs w:val="18"/>
              </w:rPr>
              <w:t>rashoda poslovanja</w:t>
            </w:r>
          </w:p>
        </w:tc>
        <w:tc>
          <w:tcPr>
            <w:tcW w:w="1781" w:type="dxa"/>
            <w:tcBorders>
              <w:top w:val="nil"/>
              <w:left w:val="single" w:sz="4" w:space="0" w:color="000080"/>
              <w:bottom w:val="single" w:sz="4" w:space="0" w:color="000080"/>
              <w:right w:val="single" w:sz="4" w:space="0" w:color="000080"/>
            </w:tcBorders>
            <w:noWrap/>
            <w:vAlign w:val="center"/>
          </w:tcPr>
          <w:p w14:paraId="579E0C2F" w14:textId="695A130B" w:rsidR="00D2741E"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8.464.844</w:t>
            </w:r>
          </w:p>
        </w:tc>
        <w:tc>
          <w:tcPr>
            <w:tcW w:w="1781" w:type="dxa"/>
            <w:tcBorders>
              <w:top w:val="nil"/>
              <w:left w:val="single" w:sz="4" w:space="0" w:color="000080"/>
              <w:bottom w:val="single" w:sz="4" w:space="0" w:color="000080"/>
              <w:right w:val="single" w:sz="4" w:space="0" w:color="000080"/>
            </w:tcBorders>
            <w:noWrap/>
            <w:vAlign w:val="center"/>
          </w:tcPr>
          <w:p w14:paraId="65465165" w14:textId="7BA62A6D" w:rsidR="00D2741E"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0</w:t>
            </w:r>
          </w:p>
        </w:tc>
        <w:tc>
          <w:tcPr>
            <w:tcW w:w="1737" w:type="dxa"/>
            <w:tcBorders>
              <w:top w:val="nil"/>
              <w:left w:val="single" w:sz="4" w:space="0" w:color="000080"/>
              <w:bottom w:val="single" w:sz="4" w:space="0" w:color="000080"/>
              <w:right w:val="single" w:sz="4" w:space="0" w:color="000080"/>
            </w:tcBorders>
            <w:noWrap/>
            <w:vAlign w:val="center"/>
          </w:tcPr>
          <w:p w14:paraId="55AD863A" w14:textId="68FE58CD" w:rsidR="00D2741E"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0</w:t>
            </w:r>
          </w:p>
        </w:tc>
      </w:tr>
      <w:tr w:rsidR="00D2741E" w:rsidRPr="002B451A" w14:paraId="12E76DB2" w14:textId="77777777" w:rsidTr="00E33766">
        <w:trPr>
          <w:trHeight w:val="288"/>
        </w:trPr>
        <w:tc>
          <w:tcPr>
            <w:tcW w:w="846" w:type="dxa"/>
            <w:noWrap/>
          </w:tcPr>
          <w:p w14:paraId="25C1B279" w14:textId="37554B8E" w:rsidR="00D2741E" w:rsidRDefault="00D2741E" w:rsidP="00D2741E">
            <w:pPr>
              <w:jc w:val="both"/>
              <w:rPr>
                <w:rFonts w:ascii="Times New Roman" w:hAnsi="Times New Roman" w:cs="Times New Roman"/>
                <w:sz w:val="18"/>
                <w:szCs w:val="18"/>
              </w:rPr>
            </w:pPr>
            <w:r>
              <w:rPr>
                <w:rFonts w:ascii="Times New Roman" w:hAnsi="Times New Roman" w:cs="Times New Roman"/>
                <w:sz w:val="18"/>
                <w:szCs w:val="18"/>
              </w:rPr>
              <w:t>581</w:t>
            </w:r>
          </w:p>
        </w:tc>
        <w:tc>
          <w:tcPr>
            <w:tcW w:w="1420" w:type="dxa"/>
            <w:noWrap/>
            <w:vAlign w:val="center"/>
          </w:tcPr>
          <w:p w14:paraId="12E8A20D" w14:textId="4BCB9A11" w:rsidR="00D2741E" w:rsidRDefault="00D2741E" w:rsidP="00D2741E">
            <w:pPr>
              <w:jc w:val="both"/>
              <w:rPr>
                <w:rFonts w:ascii="Arial" w:hAnsi="Arial" w:cs="Arial"/>
                <w:b/>
                <w:bCs/>
                <w:sz w:val="16"/>
                <w:szCs w:val="16"/>
              </w:rPr>
            </w:pPr>
            <w:r>
              <w:rPr>
                <w:rFonts w:ascii="Arial" w:hAnsi="Arial" w:cs="Arial"/>
                <w:b/>
                <w:bCs/>
                <w:sz w:val="16"/>
                <w:szCs w:val="16"/>
              </w:rPr>
              <w:t>67121</w:t>
            </w:r>
          </w:p>
        </w:tc>
        <w:tc>
          <w:tcPr>
            <w:tcW w:w="6429" w:type="dxa"/>
            <w:noWrap/>
          </w:tcPr>
          <w:p w14:paraId="019D9B40" w14:textId="27E7AD17" w:rsidR="00D2741E" w:rsidRPr="002B451A" w:rsidRDefault="00D2741E" w:rsidP="00D2741E">
            <w:pPr>
              <w:jc w:val="both"/>
              <w:rPr>
                <w:rFonts w:ascii="Times New Roman" w:hAnsi="Times New Roman" w:cs="Times New Roman"/>
                <w:sz w:val="18"/>
                <w:szCs w:val="18"/>
              </w:rPr>
            </w:pPr>
            <w:r w:rsidRPr="002B451A">
              <w:rPr>
                <w:rFonts w:ascii="Times New Roman" w:hAnsi="Times New Roman" w:cs="Times New Roman"/>
                <w:sz w:val="18"/>
                <w:szCs w:val="18"/>
              </w:rPr>
              <w:t xml:space="preserve">Prihodi iz nadležnog proračuna za financiranje </w:t>
            </w:r>
            <w:r>
              <w:rPr>
                <w:rFonts w:ascii="Times New Roman" w:hAnsi="Times New Roman" w:cs="Times New Roman"/>
                <w:sz w:val="18"/>
                <w:szCs w:val="18"/>
              </w:rPr>
              <w:t>rashoda za nabavu nefinancijske imovine</w:t>
            </w:r>
          </w:p>
        </w:tc>
        <w:tc>
          <w:tcPr>
            <w:tcW w:w="1781" w:type="dxa"/>
            <w:tcBorders>
              <w:top w:val="nil"/>
              <w:left w:val="single" w:sz="4" w:space="0" w:color="000080"/>
              <w:bottom w:val="single" w:sz="4" w:space="0" w:color="000080"/>
              <w:right w:val="single" w:sz="4" w:space="0" w:color="000080"/>
            </w:tcBorders>
            <w:noWrap/>
            <w:vAlign w:val="center"/>
          </w:tcPr>
          <w:p w14:paraId="1659A784" w14:textId="5531D7F6" w:rsidR="00D2741E"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38.931.063</w:t>
            </w:r>
          </w:p>
        </w:tc>
        <w:tc>
          <w:tcPr>
            <w:tcW w:w="1781" w:type="dxa"/>
            <w:tcBorders>
              <w:top w:val="nil"/>
              <w:left w:val="single" w:sz="4" w:space="0" w:color="000080"/>
              <w:bottom w:val="single" w:sz="4" w:space="0" w:color="000080"/>
              <w:right w:val="single" w:sz="4" w:space="0" w:color="000080"/>
            </w:tcBorders>
            <w:noWrap/>
            <w:vAlign w:val="center"/>
          </w:tcPr>
          <w:p w14:paraId="087C2E73" w14:textId="753103A3" w:rsidR="00D2741E"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0</w:t>
            </w:r>
          </w:p>
        </w:tc>
        <w:tc>
          <w:tcPr>
            <w:tcW w:w="1737" w:type="dxa"/>
            <w:tcBorders>
              <w:top w:val="nil"/>
              <w:left w:val="single" w:sz="4" w:space="0" w:color="000080"/>
              <w:bottom w:val="single" w:sz="4" w:space="0" w:color="000080"/>
              <w:right w:val="single" w:sz="4" w:space="0" w:color="000080"/>
            </w:tcBorders>
            <w:noWrap/>
            <w:vAlign w:val="center"/>
          </w:tcPr>
          <w:p w14:paraId="1F0EB94C" w14:textId="764DC657" w:rsidR="00D2741E"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0</w:t>
            </w:r>
          </w:p>
        </w:tc>
      </w:tr>
      <w:tr w:rsidR="00D2741E" w:rsidRPr="002B451A" w14:paraId="69C46FF4" w14:textId="77777777" w:rsidTr="00E33766">
        <w:trPr>
          <w:trHeight w:val="288"/>
        </w:trPr>
        <w:tc>
          <w:tcPr>
            <w:tcW w:w="846" w:type="dxa"/>
            <w:noWrap/>
          </w:tcPr>
          <w:p w14:paraId="029201B5" w14:textId="6BEAB4A3" w:rsidR="00D2741E" w:rsidRDefault="00D2741E" w:rsidP="00D2741E">
            <w:pPr>
              <w:jc w:val="both"/>
              <w:rPr>
                <w:rFonts w:ascii="Times New Roman" w:hAnsi="Times New Roman" w:cs="Times New Roman"/>
                <w:sz w:val="18"/>
                <w:szCs w:val="18"/>
              </w:rPr>
            </w:pPr>
            <w:r>
              <w:rPr>
                <w:rFonts w:ascii="Times New Roman" w:hAnsi="Times New Roman" w:cs="Times New Roman"/>
                <w:sz w:val="18"/>
                <w:szCs w:val="18"/>
              </w:rPr>
              <w:t>51000</w:t>
            </w:r>
          </w:p>
        </w:tc>
        <w:tc>
          <w:tcPr>
            <w:tcW w:w="1420" w:type="dxa"/>
            <w:noWrap/>
            <w:vAlign w:val="center"/>
          </w:tcPr>
          <w:p w14:paraId="36581E8C" w14:textId="5CE24CB3" w:rsidR="00D2741E" w:rsidRDefault="00D2741E" w:rsidP="00D2741E">
            <w:pPr>
              <w:jc w:val="both"/>
              <w:rPr>
                <w:rFonts w:ascii="Arial" w:hAnsi="Arial" w:cs="Arial"/>
                <w:b/>
                <w:bCs/>
                <w:sz w:val="16"/>
                <w:szCs w:val="16"/>
              </w:rPr>
            </w:pPr>
            <w:r>
              <w:rPr>
                <w:rFonts w:ascii="Arial" w:hAnsi="Arial" w:cs="Arial"/>
                <w:b/>
                <w:bCs/>
                <w:sz w:val="16"/>
                <w:szCs w:val="16"/>
              </w:rPr>
              <w:t>63931</w:t>
            </w:r>
          </w:p>
        </w:tc>
        <w:tc>
          <w:tcPr>
            <w:tcW w:w="6429" w:type="dxa"/>
            <w:noWrap/>
          </w:tcPr>
          <w:p w14:paraId="6D98B7A0" w14:textId="5325E616" w:rsidR="00D2741E" w:rsidRPr="002B451A" w:rsidRDefault="00D2741E" w:rsidP="00D2741E">
            <w:pPr>
              <w:jc w:val="both"/>
              <w:rPr>
                <w:rFonts w:ascii="Times New Roman" w:hAnsi="Times New Roman" w:cs="Times New Roman"/>
                <w:sz w:val="18"/>
                <w:szCs w:val="18"/>
              </w:rPr>
            </w:pPr>
            <w:r>
              <w:rPr>
                <w:rFonts w:ascii="Times New Roman" w:hAnsi="Times New Roman" w:cs="Times New Roman"/>
                <w:sz w:val="18"/>
                <w:szCs w:val="18"/>
              </w:rPr>
              <w:t>Tekući prijenosi između proračunskih korisnika istog proračuna temeljem prijenosa EU sredstava</w:t>
            </w:r>
          </w:p>
        </w:tc>
        <w:tc>
          <w:tcPr>
            <w:tcW w:w="1781" w:type="dxa"/>
            <w:tcBorders>
              <w:top w:val="nil"/>
              <w:left w:val="single" w:sz="4" w:space="0" w:color="000080"/>
              <w:bottom w:val="single" w:sz="4" w:space="0" w:color="000080"/>
              <w:right w:val="single" w:sz="4" w:space="0" w:color="000080"/>
            </w:tcBorders>
            <w:noWrap/>
            <w:vAlign w:val="center"/>
          </w:tcPr>
          <w:p w14:paraId="16C97302" w14:textId="552AC081" w:rsidR="00D2741E"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12.969</w:t>
            </w:r>
          </w:p>
        </w:tc>
        <w:tc>
          <w:tcPr>
            <w:tcW w:w="1781" w:type="dxa"/>
            <w:tcBorders>
              <w:top w:val="nil"/>
              <w:left w:val="single" w:sz="4" w:space="0" w:color="000080"/>
              <w:bottom w:val="single" w:sz="4" w:space="0" w:color="000080"/>
              <w:right w:val="single" w:sz="4" w:space="0" w:color="000080"/>
            </w:tcBorders>
            <w:noWrap/>
            <w:vAlign w:val="center"/>
          </w:tcPr>
          <w:p w14:paraId="494DCD32" w14:textId="6A146B89" w:rsidR="00D2741E"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0</w:t>
            </w:r>
          </w:p>
        </w:tc>
        <w:tc>
          <w:tcPr>
            <w:tcW w:w="1737" w:type="dxa"/>
            <w:tcBorders>
              <w:top w:val="nil"/>
              <w:left w:val="single" w:sz="4" w:space="0" w:color="000080"/>
              <w:bottom w:val="single" w:sz="4" w:space="0" w:color="000080"/>
              <w:right w:val="single" w:sz="4" w:space="0" w:color="000080"/>
            </w:tcBorders>
            <w:noWrap/>
            <w:vAlign w:val="center"/>
          </w:tcPr>
          <w:p w14:paraId="48C5DD37" w14:textId="20A824B2" w:rsidR="00D2741E"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0</w:t>
            </w:r>
          </w:p>
        </w:tc>
      </w:tr>
      <w:tr w:rsidR="00D2741E" w:rsidRPr="002B451A" w14:paraId="49801329" w14:textId="77777777" w:rsidTr="002E0102">
        <w:trPr>
          <w:trHeight w:val="288"/>
        </w:trPr>
        <w:tc>
          <w:tcPr>
            <w:tcW w:w="846" w:type="dxa"/>
            <w:noWrap/>
          </w:tcPr>
          <w:p w14:paraId="10D7983A" w14:textId="5C5EB8D0" w:rsidR="00D2741E" w:rsidRDefault="00D2741E" w:rsidP="00D2741E">
            <w:pPr>
              <w:jc w:val="both"/>
              <w:rPr>
                <w:rFonts w:ascii="Times New Roman" w:hAnsi="Times New Roman" w:cs="Times New Roman"/>
                <w:sz w:val="18"/>
                <w:szCs w:val="18"/>
              </w:rPr>
            </w:pPr>
            <w:r>
              <w:rPr>
                <w:rFonts w:ascii="Times New Roman" w:hAnsi="Times New Roman" w:cs="Times New Roman"/>
                <w:sz w:val="18"/>
                <w:szCs w:val="18"/>
              </w:rPr>
              <w:t>51000</w:t>
            </w:r>
          </w:p>
        </w:tc>
        <w:tc>
          <w:tcPr>
            <w:tcW w:w="1420" w:type="dxa"/>
            <w:noWrap/>
            <w:vAlign w:val="center"/>
          </w:tcPr>
          <w:p w14:paraId="39F7AA55" w14:textId="11FA2687" w:rsidR="00D2741E" w:rsidRPr="002B451A" w:rsidRDefault="00D2741E" w:rsidP="00D2741E">
            <w:pPr>
              <w:jc w:val="both"/>
              <w:rPr>
                <w:rFonts w:ascii="Arial" w:hAnsi="Arial" w:cs="Arial"/>
                <w:b/>
                <w:bCs/>
                <w:sz w:val="16"/>
                <w:szCs w:val="16"/>
              </w:rPr>
            </w:pPr>
            <w:r>
              <w:rPr>
                <w:rFonts w:ascii="Arial" w:hAnsi="Arial" w:cs="Arial"/>
                <w:b/>
                <w:bCs/>
                <w:sz w:val="16"/>
                <w:szCs w:val="16"/>
              </w:rPr>
              <w:t>63111</w:t>
            </w:r>
          </w:p>
        </w:tc>
        <w:tc>
          <w:tcPr>
            <w:tcW w:w="6429" w:type="dxa"/>
            <w:noWrap/>
          </w:tcPr>
          <w:p w14:paraId="6D4E60BC" w14:textId="2951B800" w:rsidR="00D2741E" w:rsidRPr="002B451A" w:rsidRDefault="00D2741E" w:rsidP="00D2741E">
            <w:pPr>
              <w:jc w:val="both"/>
              <w:rPr>
                <w:rFonts w:ascii="Times New Roman" w:hAnsi="Times New Roman" w:cs="Times New Roman"/>
                <w:sz w:val="18"/>
                <w:szCs w:val="18"/>
              </w:rPr>
            </w:pPr>
            <w:r>
              <w:rPr>
                <w:rFonts w:ascii="Times New Roman" w:hAnsi="Times New Roman" w:cs="Times New Roman"/>
                <w:sz w:val="18"/>
                <w:szCs w:val="18"/>
              </w:rPr>
              <w:t>Tekuće pomoći od inozemnih vlada u EU</w:t>
            </w:r>
          </w:p>
        </w:tc>
        <w:tc>
          <w:tcPr>
            <w:tcW w:w="1781" w:type="dxa"/>
            <w:tcBorders>
              <w:top w:val="nil"/>
              <w:left w:val="single" w:sz="4" w:space="0" w:color="000080"/>
              <w:bottom w:val="single" w:sz="4" w:space="0" w:color="000080"/>
              <w:right w:val="single" w:sz="4" w:space="0" w:color="000080"/>
            </w:tcBorders>
            <w:noWrap/>
            <w:vAlign w:val="center"/>
          </w:tcPr>
          <w:p w14:paraId="72E1EEAD" w14:textId="739CF639" w:rsidR="00D2741E"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9.120</w:t>
            </w:r>
          </w:p>
        </w:tc>
        <w:tc>
          <w:tcPr>
            <w:tcW w:w="1781" w:type="dxa"/>
            <w:tcBorders>
              <w:top w:val="nil"/>
              <w:left w:val="single" w:sz="4" w:space="0" w:color="000080"/>
              <w:bottom w:val="single" w:sz="4" w:space="0" w:color="000080"/>
              <w:right w:val="single" w:sz="4" w:space="0" w:color="000080"/>
            </w:tcBorders>
            <w:noWrap/>
            <w:vAlign w:val="center"/>
          </w:tcPr>
          <w:p w14:paraId="608E4FB8" w14:textId="51ED7758" w:rsidR="00D2741E"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9.120</w:t>
            </w:r>
          </w:p>
        </w:tc>
        <w:tc>
          <w:tcPr>
            <w:tcW w:w="1737" w:type="dxa"/>
            <w:tcBorders>
              <w:top w:val="nil"/>
              <w:left w:val="single" w:sz="4" w:space="0" w:color="000080"/>
              <w:bottom w:val="single" w:sz="4" w:space="0" w:color="000080"/>
              <w:right w:val="single" w:sz="4" w:space="0" w:color="000080"/>
            </w:tcBorders>
            <w:noWrap/>
            <w:vAlign w:val="center"/>
          </w:tcPr>
          <w:p w14:paraId="4E951CD6" w14:textId="411BCA27" w:rsidR="00D2741E"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0</w:t>
            </w:r>
          </w:p>
        </w:tc>
      </w:tr>
      <w:tr w:rsidR="00D2741E" w:rsidRPr="002B451A" w14:paraId="6B29D6AC" w14:textId="77777777" w:rsidTr="002E0102">
        <w:trPr>
          <w:trHeight w:val="288"/>
        </w:trPr>
        <w:tc>
          <w:tcPr>
            <w:tcW w:w="846" w:type="dxa"/>
            <w:noWrap/>
          </w:tcPr>
          <w:p w14:paraId="7144A1DE" w14:textId="3EE36C08" w:rsidR="00D2741E" w:rsidRDefault="00D2741E" w:rsidP="00D2741E">
            <w:pPr>
              <w:jc w:val="both"/>
              <w:rPr>
                <w:rFonts w:ascii="Times New Roman" w:hAnsi="Times New Roman" w:cs="Times New Roman"/>
                <w:sz w:val="18"/>
                <w:szCs w:val="18"/>
              </w:rPr>
            </w:pPr>
            <w:r>
              <w:rPr>
                <w:rFonts w:ascii="Times New Roman" w:hAnsi="Times New Roman" w:cs="Times New Roman"/>
                <w:sz w:val="18"/>
                <w:szCs w:val="18"/>
              </w:rPr>
              <w:t>51000</w:t>
            </w:r>
          </w:p>
        </w:tc>
        <w:tc>
          <w:tcPr>
            <w:tcW w:w="1420" w:type="dxa"/>
            <w:noWrap/>
            <w:vAlign w:val="center"/>
          </w:tcPr>
          <w:p w14:paraId="7102C1EC" w14:textId="1C33A881" w:rsidR="00D2741E" w:rsidRPr="002B451A" w:rsidRDefault="00D2741E" w:rsidP="00D2741E">
            <w:pPr>
              <w:jc w:val="both"/>
              <w:rPr>
                <w:rFonts w:ascii="Arial" w:hAnsi="Arial" w:cs="Arial"/>
                <w:b/>
                <w:bCs/>
                <w:sz w:val="16"/>
                <w:szCs w:val="16"/>
              </w:rPr>
            </w:pPr>
            <w:r>
              <w:rPr>
                <w:rFonts w:ascii="Arial" w:hAnsi="Arial" w:cs="Arial"/>
                <w:b/>
                <w:bCs/>
                <w:sz w:val="16"/>
                <w:szCs w:val="16"/>
              </w:rPr>
              <w:t>63231</w:t>
            </w:r>
          </w:p>
        </w:tc>
        <w:tc>
          <w:tcPr>
            <w:tcW w:w="6429" w:type="dxa"/>
            <w:noWrap/>
          </w:tcPr>
          <w:p w14:paraId="11D679BE" w14:textId="7EE076E6" w:rsidR="00D2741E" w:rsidRPr="002B451A" w:rsidRDefault="00D2741E" w:rsidP="00D2741E">
            <w:pPr>
              <w:jc w:val="both"/>
              <w:rPr>
                <w:rFonts w:ascii="Times New Roman" w:hAnsi="Times New Roman" w:cs="Times New Roman"/>
                <w:sz w:val="18"/>
                <w:szCs w:val="18"/>
              </w:rPr>
            </w:pPr>
            <w:r>
              <w:rPr>
                <w:rFonts w:ascii="Times New Roman" w:hAnsi="Times New Roman" w:cs="Times New Roman"/>
                <w:sz w:val="18"/>
                <w:szCs w:val="18"/>
              </w:rPr>
              <w:t>Tekuće pomoći od institucija i tijela EU</w:t>
            </w:r>
          </w:p>
        </w:tc>
        <w:tc>
          <w:tcPr>
            <w:tcW w:w="1781" w:type="dxa"/>
            <w:tcBorders>
              <w:top w:val="nil"/>
              <w:left w:val="single" w:sz="4" w:space="0" w:color="000080"/>
              <w:bottom w:val="single" w:sz="4" w:space="0" w:color="000080"/>
              <w:right w:val="single" w:sz="4" w:space="0" w:color="000080"/>
            </w:tcBorders>
            <w:noWrap/>
            <w:vAlign w:val="center"/>
          </w:tcPr>
          <w:p w14:paraId="6C091D00" w14:textId="0F208EF2" w:rsidR="00D2741E"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36.145</w:t>
            </w:r>
          </w:p>
        </w:tc>
        <w:tc>
          <w:tcPr>
            <w:tcW w:w="1781" w:type="dxa"/>
            <w:tcBorders>
              <w:top w:val="nil"/>
              <w:left w:val="single" w:sz="4" w:space="0" w:color="000080"/>
              <w:bottom w:val="single" w:sz="4" w:space="0" w:color="000080"/>
              <w:right w:val="single" w:sz="4" w:space="0" w:color="000080"/>
            </w:tcBorders>
            <w:noWrap/>
            <w:vAlign w:val="center"/>
          </w:tcPr>
          <w:p w14:paraId="34AA84EF" w14:textId="1E4DCBF9" w:rsidR="00D2741E"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49.844</w:t>
            </w:r>
          </w:p>
        </w:tc>
        <w:tc>
          <w:tcPr>
            <w:tcW w:w="1737" w:type="dxa"/>
            <w:tcBorders>
              <w:top w:val="nil"/>
              <w:left w:val="single" w:sz="4" w:space="0" w:color="000080"/>
              <w:bottom w:val="single" w:sz="4" w:space="0" w:color="000080"/>
              <w:right w:val="single" w:sz="4" w:space="0" w:color="000080"/>
            </w:tcBorders>
            <w:noWrap/>
            <w:vAlign w:val="center"/>
          </w:tcPr>
          <w:p w14:paraId="0CBA8916" w14:textId="1ADA78CE" w:rsidR="00D2741E"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0</w:t>
            </w:r>
          </w:p>
        </w:tc>
      </w:tr>
      <w:tr w:rsidR="00D2741E" w:rsidRPr="002B451A" w14:paraId="71E1DFF3" w14:textId="77777777" w:rsidTr="002E0102">
        <w:trPr>
          <w:trHeight w:val="288"/>
        </w:trPr>
        <w:tc>
          <w:tcPr>
            <w:tcW w:w="846" w:type="dxa"/>
            <w:noWrap/>
          </w:tcPr>
          <w:p w14:paraId="5FC310A3" w14:textId="40D8D906" w:rsidR="00D2741E" w:rsidRPr="002B451A" w:rsidRDefault="00D2741E" w:rsidP="00D2741E">
            <w:pPr>
              <w:jc w:val="both"/>
              <w:rPr>
                <w:rFonts w:ascii="Times New Roman" w:hAnsi="Times New Roman" w:cs="Times New Roman"/>
                <w:sz w:val="18"/>
                <w:szCs w:val="18"/>
              </w:rPr>
            </w:pPr>
            <w:r>
              <w:rPr>
                <w:rFonts w:ascii="Times New Roman" w:hAnsi="Times New Roman" w:cs="Times New Roman"/>
                <w:sz w:val="18"/>
                <w:szCs w:val="18"/>
              </w:rPr>
              <w:t>51011</w:t>
            </w:r>
          </w:p>
        </w:tc>
        <w:tc>
          <w:tcPr>
            <w:tcW w:w="1420" w:type="dxa"/>
            <w:noWrap/>
            <w:vAlign w:val="center"/>
          </w:tcPr>
          <w:p w14:paraId="5962297C" w14:textId="7822706B" w:rsidR="00D2741E" w:rsidRPr="002B451A" w:rsidRDefault="00D2741E" w:rsidP="00D2741E">
            <w:pPr>
              <w:jc w:val="both"/>
              <w:rPr>
                <w:rFonts w:ascii="Times New Roman" w:hAnsi="Times New Roman" w:cs="Times New Roman"/>
                <w:sz w:val="18"/>
                <w:szCs w:val="18"/>
              </w:rPr>
            </w:pPr>
            <w:r>
              <w:rPr>
                <w:rFonts w:ascii="Arial" w:hAnsi="Arial" w:cs="Arial"/>
                <w:b/>
                <w:bCs/>
                <w:sz w:val="16"/>
                <w:szCs w:val="16"/>
              </w:rPr>
              <w:t>63231</w:t>
            </w:r>
          </w:p>
        </w:tc>
        <w:tc>
          <w:tcPr>
            <w:tcW w:w="6429" w:type="dxa"/>
            <w:noWrap/>
          </w:tcPr>
          <w:p w14:paraId="25DE65F2" w14:textId="45139366" w:rsidR="00D2741E" w:rsidRPr="002B451A" w:rsidRDefault="00D2741E" w:rsidP="00D2741E">
            <w:pPr>
              <w:jc w:val="both"/>
              <w:rPr>
                <w:rFonts w:ascii="Times New Roman" w:hAnsi="Times New Roman" w:cs="Times New Roman"/>
                <w:sz w:val="18"/>
                <w:szCs w:val="18"/>
              </w:rPr>
            </w:pPr>
            <w:r>
              <w:rPr>
                <w:rFonts w:ascii="Times New Roman" w:hAnsi="Times New Roman" w:cs="Times New Roman"/>
                <w:sz w:val="18"/>
                <w:szCs w:val="18"/>
              </w:rPr>
              <w:t>Tekuće pomoći od institucija i tijela EU</w:t>
            </w:r>
          </w:p>
        </w:tc>
        <w:tc>
          <w:tcPr>
            <w:tcW w:w="1781" w:type="dxa"/>
            <w:tcBorders>
              <w:top w:val="nil"/>
              <w:left w:val="single" w:sz="4" w:space="0" w:color="000080"/>
              <w:bottom w:val="single" w:sz="4" w:space="0" w:color="000080"/>
              <w:right w:val="single" w:sz="4" w:space="0" w:color="000080"/>
            </w:tcBorders>
            <w:noWrap/>
            <w:vAlign w:val="center"/>
          </w:tcPr>
          <w:p w14:paraId="5FF9BDF8" w14:textId="5BAD3A3B" w:rsidR="00D2741E" w:rsidRPr="00E94D72"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50.000</w:t>
            </w:r>
          </w:p>
        </w:tc>
        <w:tc>
          <w:tcPr>
            <w:tcW w:w="1781" w:type="dxa"/>
            <w:tcBorders>
              <w:top w:val="nil"/>
              <w:left w:val="single" w:sz="4" w:space="0" w:color="000080"/>
              <w:bottom w:val="single" w:sz="4" w:space="0" w:color="000080"/>
              <w:right w:val="single" w:sz="4" w:space="0" w:color="000080"/>
            </w:tcBorders>
            <w:noWrap/>
            <w:vAlign w:val="center"/>
          </w:tcPr>
          <w:p w14:paraId="0AF9B0C2" w14:textId="50C81271" w:rsidR="00D2741E" w:rsidRPr="00E94D72"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0</w:t>
            </w:r>
          </w:p>
        </w:tc>
        <w:tc>
          <w:tcPr>
            <w:tcW w:w="1737" w:type="dxa"/>
            <w:tcBorders>
              <w:top w:val="nil"/>
              <w:left w:val="single" w:sz="4" w:space="0" w:color="000080"/>
              <w:bottom w:val="single" w:sz="4" w:space="0" w:color="000080"/>
              <w:right w:val="single" w:sz="4" w:space="0" w:color="000080"/>
            </w:tcBorders>
            <w:noWrap/>
            <w:vAlign w:val="center"/>
          </w:tcPr>
          <w:p w14:paraId="27FEB7E7" w14:textId="74DC5AC9" w:rsidR="00D2741E" w:rsidRPr="00E94D72"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0</w:t>
            </w:r>
          </w:p>
        </w:tc>
      </w:tr>
      <w:tr w:rsidR="00D2741E" w:rsidRPr="002B451A" w14:paraId="30738A5C" w14:textId="77777777" w:rsidTr="002E0102">
        <w:trPr>
          <w:trHeight w:val="288"/>
        </w:trPr>
        <w:tc>
          <w:tcPr>
            <w:tcW w:w="846" w:type="dxa"/>
            <w:noWrap/>
          </w:tcPr>
          <w:p w14:paraId="7F4B9FA1" w14:textId="6C3042EB" w:rsidR="00D2741E" w:rsidRDefault="00D2741E" w:rsidP="00D2741E">
            <w:pPr>
              <w:jc w:val="both"/>
              <w:rPr>
                <w:rFonts w:ascii="Times New Roman" w:hAnsi="Times New Roman" w:cs="Times New Roman"/>
                <w:sz w:val="18"/>
                <w:szCs w:val="18"/>
              </w:rPr>
            </w:pPr>
            <w:r>
              <w:rPr>
                <w:rFonts w:ascii="Times New Roman" w:hAnsi="Times New Roman" w:cs="Times New Roman"/>
                <w:sz w:val="18"/>
                <w:szCs w:val="18"/>
              </w:rPr>
              <w:t>51000</w:t>
            </w:r>
          </w:p>
        </w:tc>
        <w:tc>
          <w:tcPr>
            <w:tcW w:w="1420" w:type="dxa"/>
            <w:noWrap/>
            <w:vAlign w:val="center"/>
          </w:tcPr>
          <w:p w14:paraId="1337E44B" w14:textId="1284139B" w:rsidR="00D2741E" w:rsidRDefault="00D2741E" w:rsidP="00D2741E">
            <w:pPr>
              <w:jc w:val="both"/>
              <w:rPr>
                <w:rFonts w:ascii="Arial" w:hAnsi="Arial" w:cs="Arial"/>
                <w:b/>
                <w:bCs/>
                <w:sz w:val="16"/>
                <w:szCs w:val="16"/>
              </w:rPr>
            </w:pPr>
            <w:r>
              <w:rPr>
                <w:rFonts w:ascii="Arial" w:hAnsi="Arial" w:cs="Arial"/>
                <w:b/>
                <w:bCs/>
                <w:sz w:val="16"/>
                <w:szCs w:val="16"/>
              </w:rPr>
              <w:t>63231</w:t>
            </w:r>
          </w:p>
        </w:tc>
        <w:tc>
          <w:tcPr>
            <w:tcW w:w="6429" w:type="dxa"/>
            <w:noWrap/>
          </w:tcPr>
          <w:p w14:paraId="623DCE03" w14:textId="6FF0D9E0" w:rsidR="00D2741E" w:rsidRDefault="00D2741E" w:rsidP="00D2741E">
            <w:pPr>
              <w:jc w:val="both"/>
              <w:rPr>
                <w:rFonts w:ascii="Times New Roman" w:hAnsi="Times New Roman" w:cs="Times New Roman"/>
                <w:sz w:val="18"/>
                <w:szCs w:val="18"/>
              </w:rPr>
            </w:pPr>
            <w:r>
              <w:rPr>
                <w:rFonts w:ascii="Times New Roman" w:hAnsi="Times New Roman" w:cs="Times New Roman"/>
                <w:sz w:val="18"/>
                <w:szCs w:val="18"/>
              </w:rPr>
              <w:t>Tekuće pomoći od institucija i tijela EU</w:t>
            </w:r>
          </w:p>
        </w:tc>
        <w:tc>
          <w:tcPr>
            <w:tcW w:w="1781" w:type="dxa"/>
            <w:tcBorders>
              <w:top w:val="nil"/>
              <w:left w:val="single" w:sz="4" w:space="0" w:color="000080"/>
              <w:bottom w:val="single" w:sz="4" w:space="0" w:color="000080"/>
              <w:right w:val="single" w:sz="4" w:space="0" w:color="000080"/>
            </w:tcBorders>
            <w:noWrap/>
            <w:vAlign w:val="center"/>
          </w:tcPr>
          <w:p w14:paraId="78152ED7" w14:textId="73F6DEA9" w:rsidR="00D2741E" w:rsidRPr="008A5295"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449.967</w:t>
            </w:r>
          </w:p>
        </w:tc>
        <w:tc>
          <w:tcPr>
            <w:tcW w:w="1781" w:type="dxa"/>
            <w:tcBorders>
              <w:top w:val="nil"/>
              <w:left w:val="single" w:sz="4" w:space="0" w:color="000080"/>
              <w:bottom w:val="single" w:sz="4" w:space="0" w:color="000080"/>
              <w:right w:val="single" w:sz="4" w:space="0" w:color="000080"/>
            </w:tcBorders>
            <w:noWrap/>
            <w:vAlign w:val="center"/>
          </w:tcPr>
          <w:p w14:paraId="5FB2E192" w14:textId="17E2E281" w:rsidR="00D2741E" w:rsidRPr="008A5295"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0</w:t>
            </w:r>
          </w:p>
        </w:tc>
        <w:tc>
          <w:tcPr>
            <w:tcW w:w="1737" w:type="dxa"/>
            <w:tcBorders>
              <w:top w:val="nil"/>
              <w:left w:val="single" w:sz="4" w:space="0" w:color="000080"/>
              <w:bottom w:val="single" w:sz="4" w:space="0" w:color="000080"/>
              <w:right w:val="single" w:sz="4" w:space="0" w:color="000080"/>
            </w:tcBorders>
            <w:noWrap/>
            <w:vAlign w:val="center"/>
          </w:tcPr>
          <w:p w14:paraId="6C84746E" w14:textId="17435145" w:rsidR="00D2741E" w:rsidRPr="008A5295"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0</w:t>
            </w:r>
          </w:p>
        </w:tc>
      </w:tr>
      <w:tr w:rsidR="00D2741E" w:rsidRPr="002B451A" w14:paraId="125D05F7" w14:textId="77777777" w:rsidTr="002E0102">
        <w:trPr>
          <w:trHeight w:val="288"/>
        </w:trPr>
        <w:tc>
          <w:tcPr>
            <w:tcW w:w="846" w:type="dxa"/>
            <w:noWrap/>
          </w:tcPr>
          <w:p w14:paraId="4B8C015F" w14:textId="566CA29A" w:rsidR="00D2741E" w:rsidRDefault="00D2741E" w:rsidP="00D2741E">
            <w:pPr>
              <w:jc w:val="both"/>
              <w:rPr>
                <w:rFonts w:ascii="Times New Roman" w:hAnsi="Times New Roman" w:cs="Times New Roman"/>
                <w:sz w:val="18"/>
                <w:szCs w:val="18"/>
              </w:rPr>
            </w:pPr>
            <w:r>
              <w:rPr>
                <w:rFonts w:ascii="Times New Roman" w:hAnsi="Times New Roman" w:cs="Times New Roman"/>
                <w:sz w:val="18"/>
                <w:szCs w:val="18"/>
              </w:rPr>
              <w:t>51011</w:t>
            </w:r>
          </w:p>
        </w:tc>
        <w:tc>
          <w:tcPr>
            <w:tcW w:w="1420" w:type="dxa"/>
            <w:noWrap/>
            <w:vAlign w:val="center"/>
          </w:tcPr>
          <w:p w14:paraId="551D6D21" w14:textId="20A6D559" w:rsidR="00D2741E" w:rsidRDefault="00D2741E" w:rsidP="00D2741E">
            <w:pPr>
              <w:jc w:val="both"/>
              <w:rPr>
                <w:rFonts w:ascii="Arial" w:hAnsi="Arial" w:cs="Arial"/>
                <w:b/>
                <w:bCs/>
                <w:sz w:val="16"/>
                <w:szCs w:val="16"/>
              </w:rPr>
            </w:pPr>
            <w:r>
              <w:rPr>
                <w:rFonts w:ascii="Arial" w:hAnsi="Arial" w:cs="Arial"/>
                <w:b/>
                <w:bCs/>
                <w:sz w:val="16"/>
                <w:szCs w:val="16"/>
              </w:rPr>
              <w:t>63231</w:t>
            </w:r>
          </w:p>
        </w:tc>
        <w:tc>
          <w:tcPr>
            <w:tcW w:w="6429" w:type="dxa"/>
            <w:noWrap/>
          </w:tcPr>
          <w:p w14:paraId="64F08019" w14:textId="3B538449" w:rsidR="00D2741E" w:rsidRDefault="00D2741E" w:rsidP="00D2741E">
            <w:pPr>
              <w:jc w:val="both"/>
              <w:rPr>
                <w:rFonts w:ascii="Times New Roman" w:hAnsi="Times New Roman" w:cs="Times New Roman"/>
                <w:sz w:val="18"/>
                <w:szCs w:val="18"/>
              </w:rPr>
            </w:pPr>
            <w:r>
              <w:rPr>
                <w:rFonts w:ascii="Times New Roman" w:hAnsi="Times New Roman" w:cs="Times New Roman"/>
                <w:sz w:val="18"/>
                <w:szCs w:val="18"/>
              </w:rPr>
              <w:t>Tekuće pomoći od institucija i tijela EU</w:t>
            </w:r>
          </w:p>
        </w:tc>
        <w:tc>
          <w:tcPr>
            <w:tcW w:w="1781" w:type="dxa"/>
            <w:tcBorders>
              <w:top w:val="nil"/>
              <w:left w:val="single" w:sz="4" w:space="0" w:color="000080"/>
              <w:bottom w:val="single" w:sz="4" w:space="0" w:color="000080"/>
              <w:right w:val="single" w:sz="4" w:space="0" w:color="000080"/>
            </w:tcBorders>
            <w:noWrap/>
            <w:vAlign w:val="center"/>
          </w:tcPr>
          <w:p w14:paraId="796F3B9C" w14:textId="476F7575" w:rsidR="00D2741E" w:rsidRPr="008A5295"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0</w:t>
            </w:r>
          </w:p>
        </w:tc>
        <w:tc>
          <w:tcPr>
            <w:tcW w:w="1781" w:type="dxa"/>
            <w:tcBorders>
              <w:top w:val="nil"/>
              <w:left w:val="single" w:sz="4" w:space="0" w:color="000080"/>
              <w:bottom w:val="single" w:sz="4" w:space="0" w:color="000080"/>
              <w:right w:val="single" w:sz="4" w:space="0" w:color="000080"/>
            </w:tcBorders>
            <w:noWrap/>
            <w:vAlign w:val="center"/>
          </w:tcPr>
          <w:p w14:paraId="3B4ECB87" w14:textId="20BC0DDA" w:rsidR="00D2741E" w:rsidRPr="008A5295"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0</w:t>
            </w:r>
          </w:p>
        </w:tc>
        <w:tc>
          <w:tcPr>
            <w:tcW w:w="1737" w:type="dxa"/>
            <w:tcBorders>
              <w:top w:val="nil"/>
              <w:left w:val="single" w:sz="4" w:space="0" w:color="000080"/>
              <w:bottom w:val="single" w:sz="4" w:space="0" w:color="000080"/>
              <w:right w:val="single" w:sz="4" w:space="0" w:color="000080"/>
            </w:tcBorders>
            <w:noWrap/>
            <w:vAlign w:val="center"/>
          </w:tcPr>
          <w:p w14:paraId="58E2DD9F" w14:textId="76500B10" w:rsidR="00D2741E" w:rsidRPr="008A5295"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752.416</w:t>
            </w:r>
          </w:p>
        </w:tc>
      </w:tr>
      <w:tr w:rsidR="00D2741E" w:rsidRPr="002B451A" w14:paraId="0E708130" w14:textId="77777777" w:rsidTr="002E0102">
        <w:trPr>
          <w:trHeight w:val="288"/>
        </w:trPr>
        <w:tc>
          <w:tcPr>
            <w:tcW w:w="846" w:type="dxa"/>
            <w:noWrap/>
          </w:tcPr>
          <w:p w14:paraId="238A48CA" w14:textId="5E0A5392" w:rsidR="00D2741E" w:rsidRPr="002B451A" w:rsidRDefault="00D2741E" w:rsidP="00D2741E">
            <w:pPr>
              <w:jc w:val="both"/>
              <w:rPr>
                <w:rFonts w:ascii="Times New Roman" w:hAnsi="Times New Roman" w:cs="Times New Roman"/>
                <w:sz w:val="18"/>
                <w:szCs w:val="18"/>
              </w:rPr>
            </w:pPr>
            <w:r>
              <w:rPr>
                <w:rFonts w:ascii="Times New Roman" w:hAnsi="Times New Roman" w:cs="Times New Roman"/>
                <w:sz w:val="18"/>
                <w:szCs w:val="18"/>
              </w:rPr>
              <w:t>51000</w:t>
            </w:r>
          </w:p>
        </w:tc>
        <w:tc>
          <w:tcPr>
            <w:tcW w:w="1420" w:type="dxa"/>
            <w:noWrap/>
            <w:vAlign w:val="center"/>
          </w:tcPr>
          <w:p w14:paraId="0B173BB0" w14:textId="26DADAFA" w:rsidR="00D2741E" w:rsidRPr="002B451A" w:rsidRDefault="00D2741E" w:rsidP="00D2741E">
            <w:pPr>
              <w:jc w:val="both"/>
              <w:rPr>
                <w:rFonts w:ascii="Times New Roman" w:hAnsi="Times New Roman" w:cs="Times New Roman"/>
                <w:sz w:val="18"/>
                <w:szCs w:val="18"/>
              </w:rPr>
            </w:pPr>
            <w:r>
              <w:rPr>
                <w:rFonts w:ascii="Arial" w:hAnsi="Arial" w:cs="Arial"/>
                <w:b/>
                <w:bCs/>
                <w:sz w:val="16"/>
                <w:szCs w:val="16"/>
              </w:rPr>
              <w:t>63111</w:t>
            </w:r>
          </w:p>
        </w:tc>
        <w:tc>
          <w:tcPr>
            <w:tcW w:w="6429" w:type="dxa"/>
            <w:noWrap/>
          </w:tcPr>
          <w:p w14:paraId="15597B4C" w14:textId="7F335E08" w:rsidR="00D2741E" w:rsidRPr="002B451A" w:rsidRDefault="00D2741E" w:rsidP="00D2741E">
            <w:pPr>
              <w:jc w:val="both"/>
              <w:rPr>
                <w:rFonts w:ascii="Times New Roman" w:hAnsi="Times New Roman" w:cs="Times New Roman"/>
                <w:sz w:val="18"/>
                <w:szCs w:val="18"/>
              </w:rPr>
            </w:pPr>
            <w:r>
              <w:rPr>
                <w:rFonts w:ascii="Times New Roman" w:hAnsi="Times New Roman" w:cs="Times New Roman"/>
                <w:sz w:val="18"/>
                <w:szCs w:val="18"/>
              </w:rPr>
              <w:t>Tekuće pomoći od institucija i tijela EU</w:t>
            </w:r>
          </w:p>
        </w:tc>
        <w:tc>
          <w:tcPr>
            <w:tcW w:w="1781" w:type="dxa"/>
            <w:tcBorders>
              <w:top w:val="nil"/>
              <w:left w:val="single" w:sz="4" w:space="0" w:color="000080"/>
              <w:bottom w:val="single" w:sz="4" w:space="0" w:color="000080"/>
              <w:right w:val="single" w:sz="4" w:space="0" w:color="000080"/>
            </w:tcBorders>
            <w:noWrap/>
            <w:vAlign w:val="center"/>
          </w:tcPr>
          <w:p w14:paraId="24DBDA78" w14:textId="68F530E4" w:rsidR="00D2741E" w:rsidRPr="00E94D72"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60.000</w:t>
            </w:r>
          </w:p>
        </w:tc>
        <w:tc>
          <w:tcPr>
            <w:tcW w:w="1781" w:type="dxa"/>
            <w:tcBorders>
              <w:top w:val="nil"/>
              <w:left w:val="single" w:sz="4" w:space="0" w:color="000080"/>
              <w:bottom w:val="single" w:sz="4" w:space="0" w:color="000080"/>
              <w:right w:val="single" w:sz="4" w:space="0" w:color="000080"/>
            </w:tcBorders>
            <w:noWrap/>
            <w:vAlign w:val="center"/>
          </w:tcPr>
          <w:p w14:paraId="2158E87D" w14:textId="34D67DFF" w:rsidR="00D2741E" w:rsidRPr="00E94D72"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480.000</w:t>
            </w:r>
          </w:p>
        </w:tc>
        <w:tc>
          <w:tcPr>
            <w:tcW w:w="1737" w:type="dxa"/>
            <w:tcBorders>
              <w:top w:val="nil"/>
              <w:left w:val="single" w:sz="4" w:space="0" w:color="000080"/>
              <w:bottom w:val="single" w:sz="4" w:space="0" w:color="000080"/>
              <w:right w:val="single" w:sz="4" w:space="0" w:color="000080"/>
            </w:tcBorders>
            <w:noWrap/>
            <w:vAlign w:val="center"/>
          </w:tcPr>
          <w:p w14:paraId="6ADBD468" w14:textId="2C04C040" w:rsidR="00D2741E" w:rsidRPr="00E94D72" w:rsidRDefault="00D2741E" w:rsidP="00D2741E">
            <w:pPr>
              <w:jc w:val="both"/>
              <w:rPr>
                <w:rFonts w:ascii="Times New Roman" w:hAnsi="Times New Roman" w:cs="Times New Roman"/>
                <w:sz w:val="18"/>
                <w:szCs w:val="18"/>
              </w:rPr>
            </w:pPr>
            <w:r w:rsidRPr="00D2741E">
              <w:rPr>
                <w:rFonts w:ascii="Times New Roman" w:hAnsi="Times New Roman" w:cs="Times New Roman"/>
                <w:sz w:val="18"/>
                <w:szCs w:val="18"/>
              </w:rPr>
              <w:t>0</w:t>
            </w:r>
          </w:p>
        </w:tc>
      </w:tr>
    </w:tbl>
    <w:p w14:paraId="2FBF9C09" w14:textId="77777777" w:rsidR="0088541C" w:rsidRDefault="0088541C" w:rsidP="001E0AE3">
      <w:pPr>
        <w:spacing w:line="240" w:lineRule="auto"/>
        <w:jc w:val="both"/>
        <w:rPr>
          <w:rFonts w:ascii="Times New Roman" w:hAnsi="Times New Roman" w:cs="Times New Roman"/>
          <w:b/>
          <w:sz w:val="24"/>
          <w:szCs w:val="24"/>
        </w:rPr>
      </w:pPr>
    </w:p>
    <w:p w14:paraId="24AB6455" w14:textId="53EC05AC" w:rsidR="002320A1" w:rsidRPr="002B451A" w:rsidRDefault="002320A1" w:rsidP="001E0AE3">
      <w:pPr>
        <w:spacing w:line="240" w:lineRule="auto"/>
        <w:jc w:val="both"/>
        <w:rPr>
          <w:rFonts w:ascii="Times New Roman" w:hAnsi="Times New Roman" w:cs="Times New Roman"/>
          <w:b/>
          <w:sz w:val="24"/>
          <w:szCs w:val="24"/>
        </w:rPr>
        <w:sectPr w:rsidR="002320A1" w:rsidRPr="002B451A" w:rsidSect="0088541C">
          <w:pgSz w:w="16838" w:h="11906" w:orient="landscape"/>
          <w:pgMar w:top="1417" w:right="1417" w:bottom="1417" w:left="1417" w:header="708" w:footer="708" w:gutter="0"/>
          <w:cols w:space="708"/>
          <w:docGrid w:linePitch="360"/>
        </w:sectPr>
      </w:pPr>
    </w:p>
    <w:p w14:paraId="0B1CEA61" w14:textId="3E59DA02" w:rsidR="00172181" w:rsidRPr="00172181" w:rsidRDefault="0088541C" w:rsidP="001E0AE3">
      <w:pPr>
        <w:pStyle w:val="ListParagraph"/>
        <w:numPr>
          <w:ilvl w:val="0"/>
          <w:numId w:val="3"/>
        </w:numPr>
        <w:jc w:val="both"/>
        <w:rPr>
          <w:rFonts w:ascii="Times New Roman" w:hAnsi="Times New Roman" w:cs="Times New Roman"/>
          <w:bCs/>
          <w:sz w:val="24"/>
          <w:szCs w:val="24"/>
          <w:lang w:val="en-US"/>
        </w:rPr>
      </w:pPr>
      <w:r w:rsidRPr="002B451A">
        <w:rPr>
          <w:rFonts w:ascii="Times New Roman" w:hAnsi="Times New Roman" w:cs="Times New Roman"/>
          <w:bCs/>
          <w:sz w:val="24"/>
          <w:szCs w:val="24"/>
        </w:rPr>
        <w:lastRenderedPageBreak/>
        <w:t xml:space="preserve">Do </w:t>
      </w:r>
      <w:r w:rsidR="00E1687B">
        <w:rPr>
          <w:rFonts w:ascii="Times New Roman" w:hAnsi="Times New Roman" w:cs="Times New Roman"/>
          <w:bCs/>
          <w:sz w:val="24"/>
          <w:szCs w:val="24"/>
        </w:rPr>
        <w:t>poveća</w:t>
      </w:r>
      <w:r w:rsidRPr="002B451A">
        <w:rPr>
          <w:rFonts w:ascii="Times New Roman" w:hAnsi="Times New Roman" w:cs="Times New Roman"/>
          <w:bCs/>
          <w:sz w:val="24"/>
          <w:szCs w:val="24"/>
        </w:rPr>
        <w:t>nja</w:t>
      </w:r>
      <w:r w:rsidR="00FA38B5" w:rsidRPr="002B451A">
        <w:rPr>
          <w:rFonts w:ascii="Times New Roman" w:hAnsi="Times New Roman" w:cs="Times New Roman"/>
          <w:bCs/>
          <w:sz w:val="24"/>
          <w:szCs w:val="24"/>
        </w:rPr>
        <w:t xml:space="preserve"> ukupnih</w:t>
      </w:r>
      <w:r w:rsidRPr="002B451A">
        <w:rPr>
          <w:rFonts w:ascii="Times New Roman" w:hAnsi="Times New Roman" w:cs="Times New Roman"/>
          <w:bCs/>
          <w:sz w:val="24"/>
          <w:szCs w:val="24"/>
        </w:rPr>
        <w:t xml:space="preserve"> planiranih prihoda </w:t>
      </w:r>
      <w:r w:rsidR="001F0898" w:rsidRPr="002B451A">
        <w:rPr>
          <w:rFonts w:ascii="Times New Roman" w:hAnsi="Times New Roman" w:cs="Times New Roman"/>
          <w:bCs/>
          <w:sz w:val="24"/>
          <w:szCs w:val="24"/>
        </w:rPr>
        <w:t>u 202</w:t>
      </w:r>
      <w:r w:rsidR="00E93717">
        <w:rPr>
          <w:rFonts w:ascii="Times New Roman" w:hAnsi="Times New Roman" w:cs="Times New Roman"/>
          <w:bCs/>
          <w:sz w:val="24"/>
          <w:szCs w:val="24"/>
        </w:rPr>
        <w:t>6</w:t>
      </w:r>
      <w:r w:rsidR="001F0898" w:rsidRPr="002B451A">
        <w:rPr>
          <w:rFonts w:ascii="Times New Roman" w:hAnsi="Times New Roman" w:cs="Times New Roman"/>
          <w:bCs/>
          <w:sz w:val="24"/>
          <w:szCs w:val="24"/>
        </w:rPr>
        <w:t>. godini u odnosu na 202</w:t>
      </w:r>
      <w:r w:rsidR="00E93717">
        <w:rPr>
          <w:rFonts w:ascii="Times New Roman" w:hAnsi="Times New Roman" w:cs="Times New Roman"/>
          <w:bCs/>
          <w:sz w:val="24"/>
          <w:szCs w:val="24"/>
        </w:rPr>
        <w:t>5</w:t>
      </w:r>
      <w:r w:rsidR="001F0898" w:rsidRPr="002B451A">
        <w:rPr>
          <w:rFonts w:ascii="Times New Roman" w:hAnsi="Times New Roman" w:cs="Times New Roman"/>
          <w:bCs/>
          <w:sz w:val="24"/>
          <w:szCs w:val="24"/>
        </w:rPr>
        <w:t xml:space="preserve">., </w:t>
      </w:r>
      <w:r w:rsidR="00172181">
        <w:rPr>
          <w:rFonts w:ascii="Times New Roman" w:hAnsi="Times New Roman" w:cs="Times New Roman"/>
          <w:bCs/>
          <w:sz w:val="24"/>
          <w:szCs w:val="24"/>
        </w:rPr>
        <w:t xml:space="preserve">najvećim dijelom </w:t>
      </w:r>
      <w:r w:rsidR="001F0898" w:rsidRPr="002B451A">
        <w:rPr>
          <w:rFonts w:ascii="Times New Roman" w:hAnsi="Times New Roman" w:cs="Times New Roman"/>
          <w:bCs/>
          <w:sz w:val="24"/>
          <w:szCs w:val="24"/>
        </w:rPr>
        <w:t>do</w:t>
      </w:r>
      <w:r w:rsidR="00D35994" w:rsidRPr="002B451A">
        <w:rPr>
          <w:rFonts w:ascii="Times New Roman" w:hAnsi="Times New Roman" w:cs="Times New Roman"/>
          <w:bCs/>
          <w:sz w:val="24"/>
          <w:szCs w:val="24"/>
        </w:rPr>
        <w:t xml:space="preserve">lazi zbog završetka projekta </w:t>
      </w:r>
      <w:r w:rsidR="00E1687B" w:rsidRPr="002B451A">
        <w:rPr>
          <w:rFonts w:ascii="Times New Roman" w:hAnsi="Times New Roman" w:cs="Times New Roman"/>
          <w:bCs/>
          <w:sz w:val="24"/>
          <w:szCs w:val="24"/>
        </w:rPr>
        <w:t>„Digitalna preobrazba visokog obrazovanja e-sveučilišta</w:t>
      </w:r>
      <w:r w:rsidR="00E1687B">
        <w:rPr>
          <w:rFonts w:ascii="Times New Roman" w:hAnsi="Times New Roman" w:cs="Times New Roman"/>
          <w:bCs/>
          <w:sz w:val="24"/>
          <w:szCs w:val="24"/>
        </w:rPr>
        <w:t>“</w:t>
      </w:r>
      <w:r w:rsidR="00D35994" w:rsidRPr="002B451A">
        <w:rPr>
          <w:rFonts w:ascii="Times New Roman" w:hAnsi="Times New Roman" w:cs="Times New Roman"/>
          <w:bCs/>
          <w:sz w:val="24"/>
          <w:szCs w:val="24"/>
        </w:rPr>
        <w:t xml:space="preserve"> koji je financiran iz izvora 5</w:t>
      </w:r>
      <w:r w:rsidR="00E1687B">
        <w:rPr>
          <w:rFonts w:ascii="Times New Roman" w:hAnsi="Times New Roman" w:cs="Times New Roman"/>
          <w:bCs/>
          <w:sz w:val="24"/>
          <w:szCs w:val="24"/>
        </w:rPr>
        <w:t>8</w:t>
      </w:r>
      <w:r w:rsidR="00D35994" w:rsidRPr="002B451A">
        <w:rPr>
          <w:rFonts w:ascii="Times New Roman" w:hAnsi="Times New Roman" w:cs="Times New Roman"/>
          <w:bCs/>
          <w:sz w:val="24"/>
          <w:szCs w:val="24"/>
        </w:rPr>
        <w:t>1</w:t>
      </w:r>
      <w:r w:rsidR="00E1687B">
        <w:rPr>
          <w:rFonts w:ascii="Times New Roman" w:hAnsi="Times New Roman" w:cs="Times New Roman"/>
          <w:bCs/>
          <w:sz w:val="24"/>
          <w:szCs w:val="24"/>
        </w:rPr>
        <w:t xml:space="preserve">, </w:t>
      </w:r>
      <w:r w:rsidR="00172181">
        <w:rPr>
          <w:rFonts w:ascii="Times New Roman" w:hAnsi="Times New Roman" w:cs="Times New Roman"/>
          <w:bCs/>
          <w:sz w:val="24"/>
          <w:szCs w:val="24"/>
        </w:rPr>
        <w:t>te početka</w:t>
      </w:r>
      <w:r w:rsidR="002320A1">
        <w:rPr>
          <w:rFonts w:ascii="Times New Roman" w:hAnsi="Times New Roman" w:cs="Times New Roman"/>
          <w:bCs/>
          <w:sz w:val="24"/>
          <w:szCs w:val="24"/>
        </w:rPr>
        <w:t xml:space="preserve"> planiranih aktivnosti</w:t>
      </w:r>
      <w:r w:rsidR="00172181">
        <w:rPr>
          <w:rFonts w:ascii="Times New Roman" w:hAnsi="Times New Roman" w:cs="Times New Roman"/>
          <w:bCs/>
          <w:sz w:val="24"/>
          <w:szCs w:val="24"/>
        </w:rPr>
        <w:t xml:space="preserve"> projekta „</w:t>
      </w:r>
      <w:r w:rsidR="00172181" w:rsidRPr="00172181">
        <w:rPr>
          <w:rFonts w:ascii="Times New Roman" w:hAnsi="Times New Roman" w:cs="Times New Roman"/>
          <w:bCs/>
          <w:sz w:val="24"/>
          <w:szCs w:val="24"/>
          <w:lang w:val="en-US"/>
        </w:rPr>
        <w:t>Uspostava Nacionalnog koordinacijskog središta za industriju, tehnologiju i istraživanja u području kibernetičke sigurnosti</w:t>
      </w:r>
      <w:r w:rsidR="00172181">
        <w:rPr>
          <w:rFonts w:ascii="Times New Roman" w:hAnsi="Times New Roman" w:cs="Times New Roman"/>
          <w:bCs/>
          <w:sz w:val="24"/>
          <w:szCs w:val="24"/>
          <w:lang w:val="en-US"/>
        </w:rPr>
        <w:t>”</w:t>
      </w:r>
      <w:r w:rsidR="00172181" w:rsidRPr="00172181">
        <w:rPr>
          <w:rFonts w:ascii="Times New Roman" w:hAnsi="Times New Roman" w:cs="Times New Roman"/>
          <w:bCs/>
          <w:sz w:val="24"/>
          <w:szCs w:val="24"/>
          <w:lang w:val="en-US"/>
        </w:rPr>
        <w:t> </w:t>
      </w:r>
      <w:r w:rsidR="00172181">
        <w:rPr>
          <w:rFonts w:ascii="Times New Roman" w:hAnsi="Times New Roman" w:cs="Times New Roman"/>
          <w:bCs/>
          <w:sz w:val="24"/>
          <w:szCs w:val="24"/>
          <w:lang w:val="en-US"/>
        </w:rPr>
        <w:t>koji je financiran iz izvora 51 i 12</w:t>
      </w:r>
    </w:p>
    <w:p w14:paraId="708D6347" w14:textId="57FA35F8" w:rsidR="00B33A78" w:rsidRPr="00172181" w:rsidRDefault="00B33A78" w:rsidP="001E0AE3">
      <w:pPr>
        <w:pStyle w:val="ListParagraph"/>
        <w:jc w:val="both"/>
        <w:rPr>
          <w:rFonts w:ascii="Times New Roman" w:hAnsi="Times New Roman" w:cs="Times New Roman"/>
          <w:bCs/>
          <w:sz w:val="24"/>
          <w:szCs w:val="24"/>
        </w:rPr>
      </w:pPr>
    </w:p>
    <w:p w14:paraId="320A2217" w14:textId="7CF646AD" w:rsidR="00172181" w:rsidRPr="00172181" w:rsidRDefault="00B33A78" w:rsidP="001E0AE3">
      <w:pPr>
        <w:pStyle w:val="ListParagraph"/>
        <w:numPr>
          <w:ilvl w:val="0"/>
          <w:numId w:val="3"/>
        </w:numPr>
        <w:jc w:val="both"/>
      </w:pPr>
      <w:r w:rsidRPr="00172181">
        <w:rPr>
          <w:rFonts w:ascii="Times New Roman" w:hAnsi="Times New Roman" w:cs="Times New Roman"/>
          <w:bCs/>
          <w:sz w:val="24"/>
          <w:szCs w:val="24"/>
        </w:rPr>
        <w:t xml:space="preserve">Do povećanja prihoda dolazi na izvoru 581 iz kojeg će CARNET financirati </w:t>
      </w:r>
      <w:r w:rsidR="00C82DC6" w:rsidRPr="00172181">
        <w:rPr>
          <w:rFonts w:ascii="Times New Roman" w:hAnsi="Times New Roman" w:cs="Times New Roman"/>
          <w:bCs/>
          <w:sz w:val="24"/>
          <w:szCs w:val="24"/>
        </w:rPr>
        <w:t>projekt „Digitalna preobrazba visokog obrazovanja e-sveučilišta“ koji za cilj ima unaprijeđenje kvalitete i dostupnosti sustava visokog obrazovanja, osnaživanjem fleksibilnosti i inovativnosti javnih visokih učilišta kroz podršku ulaganjima u digitalnu nastavnu infrastrukturu koja će doprinijeti učinkovitosti digitalne preobrazbe i po</w:t>
      </w:r>
      <w:r w:rsidR="00542D06" w:rsidRPr="00172181">
        <w:rPr>
          <w:rFonts w:ascii="Times New Roman" w:hAnsi="Times New Roman" w:cs="Times New Roman"/>
          <w:bCs/>
          <w:sz w:val="24"/>
          <w:szCs w:val="24"/>
        </w:rPr>
        <w:t>v</w:t>
      </w:r>
      <w:r w:rsidR="00C82DC6" w:rsidRPr="00172181">
        <w:rPr>
          <w:rFonts w:ascii="Times New Roman" w:hAnsi="Times New Roman" w:cs="Times New Roman"/>
          <w:bCs/>
          <w:sz w:val="24"/>
          <w:szCs w:val="24"/>
        </w:rPr>
        <w:t>ećanju digitalne zrelosti visokog obrazovanja na cijelom području RH.</w:t>
      </w:r>
      <w:r w:rsidR="001C1792">
        <w:rPr>
          <w:rFonts w:ascii="Times New Roman" w:hAnsi="Times New Roman" w:cs="Times New Roman"/>
          <w:bCs/>
          <w:sz w:val="24"/>
          <w:szCs w:val="24"/>
        </w:rPr>
        <w:t xml:space="preserve"> Povećanje se u</w:t>
      </w:r>
      <w:r w:rsidR="00172181" w:rsidRPr="00172181">
        <w:rPr>
          <w:rFonts w:ascii="Times New Roman" w:hAnsi="Times New Roman" w:cs="Times New Roman"/>
          <w:bCs/>
          <w:sz w:val="24"/>
          <w:szCs w:val="24"/>
        </w:rPr>
        <w:t xml:space="preserve"> najvećoj mjeri</w:t>
      </w:r>
      <w:r w:rsidR="001C1792">
        <w:rPr>
          <w:rFonts w:ascii="Times New Roman" w:hAnsi="Times New Roman" w:cs="Times New Roman"/>
          <w:bCs/>
          <w:sz w:val="24"/>
          <w:szCs w:val="24"/>
        </w:rPr>
        <w:t xml:space="preserve"> </w:t>
      </w:r>
      <w:r w:rsidR="00172181" w:rsidRPr="00172181">
        <w:rPr>
          <w:rFonts w:ascii="Times New Roman" w:hAnsi="Times New Roman" w:cs="Times New Roman"/>
          <w:bCs/>
          <w:sz w:val="24"/>
          <w:szCs w:val="24"/>
        </w:rPr>
        <w:t>odnosi na pasivnu i aktivnu mrežnu opremu za visoka učilišta te drugu računalnu opremu koja će sukladno realizaciji nabava u najvećoj mjeri biti realizirana tijekom 202</w:t>
      </w:r>
      <w:r w:rsidR="002320A1">
        <w:rPr>
          <w:rFonts w:ascii="Times New Roman" w:hAnsi="Times New Roman" w:cs="Times New Roman"/>
          <w:bCs/>
          <w:sz w:val="24"/>
          <w:szCs w:val="24"/>
        </w:rPr>
        <w:t>6</w:t>
      </w:r>
      <w:r w:rsidR="00172181" w:rsidRPr="00172181">
        <w:rPr>
          <w:rFonts w:ascii="Times New Roman" w:hAnsi="Times New Roman" w:cs="Times New Roman"/>
          <w:bCs/>
          <w:sz w:val="24"/>
          <w:szCs w:val="24"/>
        </w:rPr>
        <w:t>. godine.</w:t>
      </w:r>
    </w:p>
    <w:p w14:paraId="08E619B3" w14:textId="77777777" w:rsidR="00172181" w:rsidRPr="00172181" w:rsidRDefault="00172181" w:rsidP="001E0AE3">
      <w:pPr>
        <w:pStyle w:val="ListParagraph"/>
        <w:jc w:val="both"/>
        <w:rPr>
          <w:rFonts w:ascii="Times New Roman" w:hAnsi="Times New Roman" w:cs="Times New Roman"/>
          <w:bCs/>
          <w:sz w:val="24"/>
          <w:szCs w:val="24"/>
        </w:rPr>
      </w:pPr>
    </w:p>
    <w:p w14:paraId="63EFFDBD" w14:textId="389224FA" w:rsidR="00172181" w:rsidRDefault="00172181" w:rsidP="001E0AE3">
      <w:pPr>
        <w:pStyle w:val="ListParagraph"/>
        <w:numPr>
          <w:ilvl w:val="0"/>
          <w:numId w:val="3"/>
        </w:numPr>
        <w:jc w:val="both"/>
        <w:rPr>
          <w:rFonts w:ascii="Times New Roman" w:hAnsi="Times New Roman" w:cs="Times New Roman"/>
          <w:bCs/>
          <w:sz w:val="24"/>
          <w:szCs w:val="24"/>
        </w:rPr>
      </w:pPr>
      <w:r w:rsidRPr="00172181">
        <w:rPr>
          <w:rFonts w:ascii="Times New Roman" w:hAnsi="Times New Roman" w:cs="Times New Roman"/>
          <w:bCs/>
          <w:sz w:val="24"/>
          <w:szCs w:val="24"/>
        </w:rPr>
        <w:t>Vlada Republike Hrvatske donijela je Odluku o određivanju koordinacijskog središta za industriju, tehnologiju i istraživanja u području kibernetičke sigurnosti (Narodne novine 125/2023) (u daljnjem tekstu: Odluka) kojom se određuje Hrvatska akademska i istraživačka mreža – CARNET (u daljnjem tekstu: CARNET) za obavljanje poslova Nacionalnog koordinacijskog središta za industriju, tehnologiju i istraživanja u području kibernetičke sigurnosti (u daljnjem tekstu: NKS) u Republici Hrvatskoj. Nadalje, istom Odlukom utvrđuju se zadaće i aktivnosti CARNET-a kao NKS-a te se osniva Upravljački odbor NKS-a, određuje se njegov sastav i zadaće, kao i druga pitanja iz djelokruga NKS-a.</w:t>
      </w:r>
    </w:p>
    <w:p w14:paraId="294D302C" w14:textId="77777777" w:rsidR="00172181" w:rsidRPr="00172181" w:rsidRDefault="00172181" w:rsidP="001E0AE3">
      <w:pPr>
        <w:pStyle w:val="ListParagraph"/>
        <w:jc w:val="both"/>
        <w:rPr>
          <w:rFonts w:ascii="Times New Roman" w:hAnsi="Times New Roman" w:cs="Times New Roman"/>
          <w:bCs/>
          <w:sz w:val="24"/>
          <w:szCs w:val="24"/>
        </w:rPr>
      </w:pPr>
    </w:p>
    <w:p w14:paraId="4CA68090" w14:textId="236AA423" w:rsidR="00172181" w:rsidRDefault="00172181" w:rsidP="001E0AE3">
      <w:pPr>
        <w:pStyle w:val="ListParagraph"/>
        <w:jc w:val="both"/>
        <w:rPr>
          <w:rFonts w:ascii="Times New Roman" w:hAnsi="Times New Roman" w:cs="Times New Roman"/>
          <w:bCs/>
          <w:sz w:val="24"/>
          <w:szCs w:val="24"/>
          <w:lang w:val="en-US"/>
        </w:rPr>
      </w:pPr>
      <w:r>
        <w:rPr>
          <w:rFonts w:ascii="Times New Roman" w:hAnsi="Times New Roman" w:cs="Times New Roman"/>
          <w:bCs/>
          <w:sz w:val="24"/>
          <w:szCs w:val="24"/>
        </w:rPr>
        <w:t>Cilj projekta „</w:t>
      </w:r>
      <w:r w:rsidRPr="00172181">
        <w:rPr>
          <w:rFonts w:ascii="Times New Roman" w:hAnsi="Times New Roman" w:cs="Times New Roman"/>
          <w:bCs/>
          <w:sz w:val="24"/>
          <w:szCs w:val="24"/>
          <w:lang w:val="en-US"/>
        </w:rPr>
        <w:t>Uspostava Nacionalnog koordinacijskog središta za industriju, tehnologiju i istraživanja u području kibernetičke sigurnosti</w:t>
      </w:r>
      <w:r>
        <w:rPr>
          <w:rFonts w:ascii="Times New Roman" w:hAnsi="Times New Roman" w:cs="Times New Roman"/>
          <w:bCs/>
          <w:sz w:val="24"/>
          <w:szCs w:val="24"/>
          <w:lang w:val="en-US"/>
        </w:rPr>
        <w:t xml:space="preserve">” je </w:t>
      </w:r>
      <w:r w:rsidRPr="00172181">
        <w:rPr>
          <w:rFonts w:ascii="Times New Roman" w:hAnsi="Times New Roman" w:cs="Times New Roman"/>
          <w:bCs/>
          <w:sz w:val="24"/>
          <w:szCs w:val="24"/>
          <w:lang w:val="en-US"/>
        </w:rPr>
        <w:t>podržati razvoj Nacionalnog koordinacijskog središta za industriju, tehnologiju i istraživanja u području kibernetičke sigurnosti (NKS), koji će unutar Mreže nacionalnih centara za kibernetičku sigurnost doprinijeti ostvarenju ciljeva Europskog centra za kibernetičku sigurnost (ECCC) utjecanjem na usvajanje i širenje najnovijih rješenja za kibernetičku sigurnost te jačanjem nacionalnih kapaciteta i otpornosti na kibernetičke prijetnje. </w:t>
      </w:r>
    </w:p>
    <w:p w14:paraId="03EE8DF7" w14:textId="77777777" w:rsidR="00172181" w:rsidRDefault="00172181" w:rsidP="001E0AE3">
      <w:pPr>
        <w:pStyle w:val="ListParagraph"/>
        <w:jc w:val="both"/>
        <w:rPr>
          <w:rFonts w:ascii="Times New Roman" w:hAnsi="Times New Roman" w:cs="Times New Roman"/>
          <w:bCs/>
          <w:sz w:val="24"/>
          <w:szCs w:val="24"/>
          <w:lang w:val="en-US"/>
        </w:rPr>
      </w:pPr>
    </w:p>
    <w:p w14:paraId="41DCB3A5" w14:textId="5E48183D" w:rsidR="00172181" w:rsidRPr="00172181" w:rsidRDefault="00172181" w:rsidP="001E0AE3">
      <w:pPr>
        <w:pStyle w:val="ListParagraph"/>
        <w:jc w:val="both"/>
        <w:rPr>
          <w:rFonts w:ascii="Times New Roman" w:hAnsi="Times New Roman" w:cs="Times New Roman"/>
          <w:bCs/>
          <w:sz w:val="24"/>
          <w:szCs w:val="24"/>
          <w:lang w:val="en-US"/>
        </w:rPr>
      </w:pPr>
      <w:r w:rsidRPr="00172181">
        <w:rPr>
          <w:rFonts w:ascii="Times New Roman" w:hAnsi="Times New Roman" w:cs="Times New Roman"/>
          <w:bCs/>
          <w:sz w:val="24"/>
          <w:szCs w:val="24"/>
          <w:lang w:val="en-US"/>
        </w:rPr>
        <w:t>Projektne aktivnosti uključuju aktivnosti izgradnje Zajednice i umrežavanja, aktivnosti edukacije, aktivnosti jačanja kapaciteta malih i srednjih poduzeća (MSP) i drugih relevantnih dionika u području kibernetičke sigurnosti kroz pružanje financijske potpore kao i aktivnosti promocije i osvješćivanja.</w:t>
      </w:r>
    </w:p>
    <w:p w14:paraId="6E5AB7E1" w14:textId="2A9EEFE0" w:rsidR="00172181" w:rsidRDefault="00172181" w:rsidP="001E0AE3">
      <w:pPr>
        <w:pStyle w:val="ListParagraph"/>
        <w:jc w:val="both"/>
        <w:rPr>
          <w:rFonts w:ascii="Times New Roman" w:hAnsi="Times New Roman" w:cs="Times New Roman"/>
          <w:bCs/>
          <w:sz w:val="24"/>
          <w:szCs w:val="24"/>
        </w:rPr>
      </w:pPr>
    </w:p>
    <w:p w14:paraId="6F606E5C" w14:textId="77777777" w:rsidR="00172181" w:rsidRPr="00172181" w:rsidRDefault="00172181" w:rsidP="001E0AE3">
      <w:pPr>
        <w:pStyle w:val="ListParagraph"/>
        <w:jc w:val="both"/>
        <w:rPr>
          <w:rFonts w:ascii="Times New Roman" w:hAnsi="Times New Roman" w:cs="Times New Roman"/>
          <w:bCs/>
          <w:sz w:val="24"/>
          <w:szCs w:val="24"/>
        </w:rPr>
      </w:pPr>
    </w:p>
    <w:p w14:paraId="428EC35E" w14:textId="3C736583" w:rsidR="0088541C" w:rsidRPr="002B451A" w:rsidRDefault="0088541C" w:rsidP="001E0AE3">
      <w:pPr>
        <w:jc w:val="both"/>
      </w:pPr>
      <w:r w:rsidRPr="00172181">
        <w:rPr>
          <w:rFonts w:ascii="Times New Roman" w:hAnsi="Times New Roman" w:cs="Times New Roman"/>
          <w:b/>
          <w:sz w:val="24"/>
          <w:szCs w:val="24"/>
        </w:rPr>
        <w:br w:type="page"/>
      </w:r>
    </w:p>
    <w:p w14:paraId="72775FC5" w14:textId="5098D88D" w:rsidR="00542F6D" w:rsidRPr="002B451A" w:rsidRDefault="00F471E7" w:rsidP="001E0AE3">
      <w:pPr>
        <w:spacing w:line="240" w:lineRule="auto"/>
        <w:jc w:val="both"/>
        <w:rPr>
          <w:rFonts w:ascii="Times New Roman" w:hAnsi="Times New Roman" w:cs="Times New Roman"/>
          <w:b/>
          <w:sz w:val="24"/>
          <w:szCs w:val="24"/>
        </w:rPr>
      </w:pPr>
      <w:r w:rsidRPr="002B451A">
        <w:rPr>
          <w:rFonts w:ascii="Times New Roman" w:hAnsi="Times New Roman" w:cs="Times New Roman"/>
          <w:b/>
          <w:sz w:val="24"/>
          <w:szCs w:val="24"/>
        </w:rPr>
        <w:lastRenderedPageBreak/>
        <w:t>RASHODI I IZDACI</w:t>
      </w:r>
    </w:p>
    <w:p w14:paraId="3F4BD108" w14:textId="59C077A8" w:rsidR="002B4CBD" w:rsidRPr="00D2741E" w:rsidRDefault="00B538CD" w:rsidP="002B4CBD">
      <w:pPr>
        <w:spacing w:line="240" w:lineRule="auto"/>
        <w:jc w:val="both"/>
        <w:rPr>
          <w:rFonts w:ascii="Times New Roman" w:hAnsi="Times New Roman" w:cs="Times New Roman"/>
          <w:bCs/>
          <w:sz w:val="24"/>
          <w:szCs w:val="24"/>
          <w:lang w:val="en-US"/>
        </w:rPr>
      </w:pPr>
      <w:r w:rsidRPr="00D2741E">
        <w:rPr>
          <w:rFonts w:ascii="Times New Roman" w:hAnsi="Times New Roman" w:cs="Times New Roman"/>
          <w:sz w:val="24"/>
          <w:szCs w:val="24"/>
        </w:rPr>
        <w:t>Ukupni planirani rashodi za 202</w:t>
      </w:r>
      <w:r w:rsidR="009927C7" w:rsidRPr="00D2741E">
        <w:rPr>
          <w:rFonts w:ascii="Times New Roman" w:hAnsi="Times New Roman" w:cs="Times New Roman"/>
          <w:sz w:val="24"/>
          <w:szCs w:val="24"/>
        </w:rPr>
        <w:t>6</w:t>
      </w:r>
      <w:r w:rsidRPr="00D2741E">
        <w:rPr>
          <w:rFonts w:ascii="Times New Roman" w:hAnsi="Times New Roman" w:cs="Times New Roman"/>
          <w:sz w:val="24"/>
          <w:szCs w:val="24"/>
        </w:rPr>
        <w:t xml:space="preserve">. godinu iznose </w:t>
      </w:r>
      <w:r w:rsidR="00093AE4">
        <w:rPr>
          <w:rFonts w:ascii="Times New Roman" w:hAnsi="Times New Roman" w:cs="Times New Roman"/>
          <w:sz w:val="24"/>
          <w:szCs w:val="24"/>
        </w:rPr>
        <w:t>86.957.658</w:t>
      </w:r>
      <w:r w:rsidR="00195123" w:rsidRPr="00D2741E">
        <w:rPr>
          <w:rFonts w:ascii="Times New Roman" w:hAnsi="Times New Roman" w:cs="Times New Roman"/>
          <w:sz w:val="24"/>
          <w:szCs w:val="24"/>
        </w:rPr>
        <w:t xml:space="preserve"> EUR</w:t>
      </w:r>
      <w:r w:rsidRPr="00D2741E">
        <w:rPr>
          <w:rFonts w:ascii="Times New Roman" w:hAnsi="Times New Roman" w:cs="Times New Roman"/>
          <w:sz w:val="24"/>
          <w:szCs w:val="24"/>
        </w:rPr>
        <w:t xml:space="preserve"> što je značajno odstupanje u odnosu na planirane rashode u prethodnoj godini. </w:t>
      </w:r>
      <w:r w:rsidR="00214B14" w:rsidRPr="00D2741E">
        <w:rPr>
          <w:rFonts w:ascii="Times New Roman" w:hAnsi="Times New Roman" w:cs="Times New Roman"/>
          <w:sz w:val="24"/>
          <w:szCs w:val="24"/>
        </w:rPr>
        <w:t xml:space="preserve">Do znatnog </w:t>
      </w:r>
      <w:r w:rsidR="00172181" w:rsidRPr="00D2741E">
        <w:rPr>
          <w:rFonts w:ascii="Times New Roman" w:hAnsi="Times New Roman" w:cs="Times New Roman"/>
          <w:sz w:val="24"/>
          <w:szCs w:val="24"/>
        </w:rPr>
        <w:t>povećanja</w:t>
      </w:r>
      <w:r w:rsidR="00214B14" w:rsidRPr="00D2741E">
        <w:rPr>
          <w:rFonts w:ascii="Times New Roman" w:hAnsi="Times New Roman" w:cs="Times New Roman"/>
          <w:sz w:val="24"/>
          <w:szCs w:val="24"/>
        </w:rPr>
        <w:t xml:space="preserve"> planiranih rashoda </w:t>
      </w:r>
      <w:r w:rsidR="001C1792" w:rsidRPr="00D2741E">
        <w:rPr>
          <w:rFonts w:ascii="Times New Roman" w:hAnsi="Times New Roman" w:cs="Times New Roman"/>
          <w:sz w:val="24"/>
          <w:szCs w:val="24"/>
        </w:rPr>
        <w:t xml:space="preserve">uglavnom dolazi </w:t>
      </w:r>
      <w:r w:rsidR="00214B14" w:rsidRPr="00D2741E">
        <w:rPr>
          <w:rFonts w:ascii="Times New Roman" w:hAnsi="Times New Roman" w:cs="Times New Roman"/>
          <w:sz w:val="24"/>
          <w:szCs w:val="24"/>
        </w:rPr>
        <w:t xml:space="preserve">zbog </w:t>
      </w:r>
      <w:r w:rsidR="001C1792" w:rsidRPr="00D2741E">
        <w:rPr>
          <w:rFonts w:ascii="Times New Roman" w:hAnsi="Times New Roman" w:cs="Times New Roman"/>
          <w:bCs/>
          <w:sz w:val="24"/>
          <w:szCs w:val="24"/>
        </w:rPr>
        <w:t>aktivnosti vezanih za završetak projekta</w:t>
      </w:r>
      <w:r w:rsidR="00172181" w:rsidRPr="00D2741E">
        <w:rPr>
          <w:rFonts w:ascii="Times New Roman" w:hAnsi="Times New Roman" w:cs="Times New Roman"/>
          <w:bCs/>
          <w:sz w:val="24"/>
          <w:szCs w:val="24"/>
        </w:rPr>
        <w:t xml:space="preserve"> „Digitalna preobrazba visokog obrazovanja e-sveučilišta“ </w:t>
      </w:r>
      <w:r w:rsidR="001C1792" w:rsidRPr="00D2741E">
        <w:rPr>
          <w:rFonts w:ascii="Times New Roman" w:hAnsi="Times New Roman" w:cs="Times New Roman"/>
          <w:bCs/>
          <w:sz w:val="24"/>
          <w:szCs w:val="24"/>
        </w:rPr>
        <w:t>financiranog iz</w:t>
      </w:r>
      <w:r w:rsidR="00172181" w:rsidRPr="00D2741E">
        <w:rPr>
          <w:rFonts w:ascii="Times New Roman" w:hAnsi="Times New Roman" w:cs="Times New Roman"/>
          <w:bCs/>
          <w:sz w:val="24"/>
          <w:szCs w:val="24"/>
        </w:rPr>
        <w:t xml:space="preserve"> izvora 581,</w:t>
      </w:r>
      <w:r w:rsidR="00954967" w:rsidRPr="00D2741E">
        <w:rPr>
          <w:rFonts w:ascii="Times New Roman" w:hAnsi="Times New Roman" w:cs="Times New Roman"/>
          <w:bCs/>
          <w:sz w:val="24"/>
          <w:szCs w:val="24"/>
        </w:rPr>
        <w:t xml:space="preserve"> te zbog početka aktivnosti projekta </w:t>
      </w:r>
      <w:r w:rsidR="00172181" w:rsidRPr="00D2741E">
        <w:rPr>
          <w:rFonts w:ascii="Times New Roman" w:hAnsi="Times New Roman" w:cs="Times New Roman"/>
          <w:bCs/>
          <w:sz w:val="24"/>
          <w:szCs w:val="24"/>
        </w:rPr>
        <w:t>„</w:t>
      </w:r>
      <w:r w:rsidR="00172181" w:rsidRPr="00D2741E">
        <w:rPr>
          <w:rFonts w:ascii="Times New Roman" w:hAnsi="Times New Roman" w:cs="Times New Roman"/>
          <w:bCs/>
          <w:sz w:val="24"/>
          <w:szCs w:val="24"/>
          <w:lang w:val="en-US"/>
        </w:rPr>
        <w:t>Uspostava Nacionalnog koordinacijskog središta za industriju, tehnologiju i istraživanja u području kibernetičke sigurnosti” </w:t>
      </w:r>
      <w:r w:rsidR="001C1792" w:rsidRPr="00D2741E">
        <w:rPr>
          <w:rFonts w:ascii="Times New Roman" w:hAnsi="Times New Roman" w:cs="Times New Roman"/>
          <w:bCs/>
          <w:sz w:val="24"/>
          <w:szCs w:val="24"/>
          <w:lang w:val="en-US"/>
        </w:rPr>
        <w:t>financiranog</w:t>
      </w:r>
      <w:r w:rsidR="00172181" w:rsidRPr="00D2741E">
        <w:rPr>
          <w:rFonts w:ascii="Times New Roman" w:hAnsi="Times New Roman" w:cs="Times New Roman"/>
          <w:bCs/>
          <w:sz w:val="24"/>
          <w:szCs w:val="24"/>
          <w:lang w:val="en-US"/>
        </w:rPr>
        <w:t xml:space="preserve"> iz izvora 51 i 12</w:t>
      </w:r>
      <w:r w:rsidR="00954967" w:rsidRPr="00D2741E">
        <w:rPr>
          <w:rFonts w:ascii="Times New Roman" w:hAnsi="Times New Roman" w:cs="Times New Roman"/>
          <w:bCs/>
          <w:sz w:val="24"/>
          <w:szCs w:val="24"/>
          <w:lang w:val="en-US"/>
        </w:rPr>
        <w:t xml:space="preserve">, od čega se veliki dio rashoda odnosi na </w:t>
      </w:r>
      <w:r w:rsidR="00954967" w:rsidRPr="00D2741E">
        <w:rPr>
          <w:rFonts w:ascii="Times New Roman" w:hAnsi="Times New Roman" w:cs="Times New Roman"/>
          <w:bCs/>
          <w:sz w:val="24"/>
          <w:szCs w:val="24"/>
        </w:rPr>
        <w:t>financijsku potporu trećim stranama, omogućujući hrvatskim tvrtkama, organizacijama i drugim ključnim dionicima podizanje razine kibernetičke zrelosti i otpornosti na kibernetičke prijetnje</w:t>
      </w:r>
      <w:r w:rsidR="00172181" w:rsidRPr="00D2741E">
        <w:rPr>
          <w:rFonts w:ascii="Times New Roman" w:hAnsi="Times New Roman" w:cs="Times New Roman"/>
          <w:bCs/>
          <w:sz w:val="24"/>
          <w:szCs w:val="24"/>
          <w:lang w:val="en-US"/>
        </w:rPr>
        <w:t>.</w:t>
      </w:r>
      <w:r w:rsidR="002B4CBD" w:rsidRPr="00D2741E">
        <w:rPr>
          <w:rFonts w:ascii="Times New Roman" w:hAnsi="Times New Roman" w:cs="Times New Roman"/>
          <w:bCs/>
          <w:sz w:val="24"/>
          <w:szCs w:val="24"/>
          <w:lang w:val="en-US"/>
        </w:rPr>
        <w:t xml:space="preserve"> Također je kroz izvor financiranja 11 bitno osigurati sredstva za Sigurnosno operativni centar (SOC) koji zahtijeva financijska ulaganja u nekoliko ključnih područja kako bi mogao efikasno garantirati sigurnost i zaštitu podataka te operativnu otpornost organizacije, sukladno zahtjevima NIS 2 Direktive</w:t>
      </w:r>
      <w:r w:rsidR="001B1BC0" w:rsidRPr="00D2741E">
        <w:rPr>
          <w:rFonts w:ascii="Times New Roman" w:hAnsi="Times New Roman" w:cs="Times New Roman"/>
          <w:bCs/>
          <w:sz w:val="24"/>
          <w:szCs w:val="24"/>
          <w:lang w:val="en-US"/>
        </w:rPr>
        <w:t xml:space="preserve"> i Zakonu o kibernetičkoj sigurnosti.</w:t>
      </w:r>
    </w:p>
    <w:p w14:paraId="5A223C0F" w14:textId="51D05239" w:rsidR="00753082" w:rsidRPr="00D2741E" w:rsidRDefault="00172181" w:rsidP="001E0AE3">
      <w:pPr>
        <w:spacing w:line="240" w:lineRule="auto"/>
        <w:jc w:val="both"/>
        <w:rPr>
          <w:rFonts w:ascii="Times New Roman" w:hAnsi="Times New Roman" w:cs="Times New Roman"/>
          <w:sz w:val="24"/>
          <w:szCs w:val="24"/>
        </w:rPr>
      </w:pPr>
      <w:r w:rsidRPr="00D2741E">
        <w:rPr>
          <w:rFonts w:ascii="Times New Roman" w:hAnsi="Times New Roman" w:cs="Times New Roman"/>
          <w:bCs/>
          <w:sz w:val="24"/>
          <w:szCs w:val="24"/>
          <w:lang w:val="en-US"/>
        </w:rPr>
        <w:t xml:space="preserve"> </w:t>
      </w:r>
      <w:r w:rsidR="00214B14" w:rsidRPr="00D2741E">
        <w:rPr>
          <w:rFonts w:ascii="Times New Roman" w:hAnsi="Times New Roman" w:cs="Times New Roman"/>
          <w:sz w:val="24"/>
          <w:szCs w:val="24"/>
        </w:rPr>
        <w:t xml:space="preserve">Na drugim izvorima </w:t>
      </w:r>
      <w:r w:rsidR="001C1792" w:rsidRPr="00D2741E">
        <w:rPr>
          <w:rFonts w:ascii="Times New Roman" w:hAnsi="Times New Roman" w:cs="Times New Roman"/>
          <w:sz w:val="24"/>
          <w:szCs w:val="24"/>
        </w:rPr>
        <w:t>također</w:t>
      </w:r>
      <w:r w:rsidR="00214B14" w:rsidRPr="00D2741E">
        <w:rPr>
          <w:rFonts w:ascii="Times New Roman" w:hAnsi="Times New Roman" w:cs="Times New Roman"/>
          <w:sz w:val="24"/>
          <w:szCs w:val="24"/>
        </w:rPr>
        <w:t xml:space="preserve"> </w:t>
      </w:r>
      <w:r w:rsidR="001C1792" w:rsidRPr="00D2741E">
        <w:rPr>
          <w:rFonts w:ascii="Times New Roman" w:hAnsi="Times New Roman" w:cs="Times New Roman"/>
          <w:sz w:val="24"/>
          <w:szCs w:val="24"/>
        </w:rPr>
        <w:t>dolazi do određenih povećanja planiranih iznosa</w:t>
      </w:r>
      <w:r w:rsidR="00214B14" w:rsidRPr="00D2741E">
        <w:rPr>
          <w:rFonts w:ascii="Times New Roman" w:hAnsi="Times New Roman" w:cs="Times New Roman"/>
          <w:sz w:val="24"/>
          <w:szCs w:val="24"/>
        </w:rPr>
        <w:t xml:space="preserve">, u velikoj mjeri zbog aktivnosti na postojećim </w:t>
      </w:r>
      <w:r w:rsidRPr="00D2741E">
        <w:rPr>
          <w:rFonts w:ascii="Times New Roman" w:hAnsi="Times New Roman" w:cs="Times New Roman"/>
          <w:sz w:val="24"/>
          <w:szCs w:val="24"/>
        </w:rPr>
        <w:t>projektima</w:t>
      </w:r>
      <w:r w:rsidR="001B1BC0" w:rsidRPr="00D2741E">
        <w:rPr>
          <w:rFonts w:ascii="Times New Roman" w:hAnsi="Times New Roman" w:cs="Times New Roman"/>
          <w:sz w:val="24"/>
          <w:szCs w:val="24"/>
        </w:rPr>
        <w:t>.</w:t>
      </w:r>
    </w:p>
    <w:p w14:paraId="264FF5E5" w14:textId="58AB0212" w:rsidR="00125EBE" w:rsidRPr="00D2741E" w:rsidRDefault="00B538CD" w:rsidP="001E0AE3">
      <w:pPr>
        <w:spacing w:line="240" w:lineRule="auto"/>
        <w:jc w:val="both"/>
        <w:rPr>
          <w:rFonts w:ascii="Times New Roman" w:hAnsi="Times New Roman" w:cs="Times New Roman"/>
          <w:sz w:val="24"/>
          <w:szCs w:val="24"/>
        </w:rPr>
      </w:pPr>
      <w:r w:rsidRPr="00D2741E">
        <w:rPr>
          <w:rFonts w:ascii="Times New Roman" w:hAnsi="Times New Roman" w:cs="Times New Roman"/>
          <w:sz w:val="24"/>
          <w:szCs w:val="24"/>
        </w:rPr>
        <w:t xml:space="preserve">Najznačajnije promjene </w:t>
      </w:r>
      <w:r w:rsidR="005D0CE2" w:rsidRPr="00D2741E">
        <w:rPr>
          <w:rFonts w:ascii="Times New Roman" w:hAnsi="Times New Roman" w:cs="Times New Roman"/>
          <w:sz w:val="24"/>
          <w:szCs w:val="24"/>
        </w:rPr>
        <w:t xml:space="preserve">u </w:t>
      </w:r>
      <w:r w:rsidR="001C1792" w:rsidRPr="00D2741E">
        <w:rPr>
          <w:rFonts w:ascii="Times New Roman" w:hAnsi="Times New Roman" w:cs="Times New Roman"/>
          <w:sz w:val="24"/>
          <w:szCs w:val="24"/>
        </w:rPr>
        <w:t xml:space="preserve">financijskom </w:t>
      </w:r>
      <w:r w:rsidR="005D0CE2" w:rsidRPr="00D2741E">
        <w:rPr>
          <w:rFonts w:ascii="Times New Roman" w:hAnsi="Times New Roman" w:cs="Times New Roman"/>
          <w:sz w:val="24"/>
          <w:szCs w:val="24"/>
        </w:rPr>
        <w:t>planu za 202</w:t>
      </w:r>
      <w:r w:rsidR="001B1BC0" w:rsidRPr="00D2741E">
        <w:rPr>
          <w:rFonts w:ascii="Times New Roman" w:hAnsi="Times New Roman" w:cs="Times New Roman"/>
          <w:sz w:val="24"/>
          <w:szCs w:val="24"/>
        </w:rPr>
        <w:t>6</w:t>
      </w:r>
      <w:r w:rsidR="005D0CE2" w:rsidRPr="00D2741E">
        <w:rPr>
          <w:rFonts w:ascii="Times New Roman" w:hAnsi="Times New Roman" w:cs="Times New Roman"/>
          <w:sz w:val="24"/>
          <w:szCs w:val="24"/>
        </w:rPr>
        <w:t xml:space="preserve">. godinu </w:t>
      </w:r>
      <w:r w:rsidRPr="00D2741E">
        <w:rPr>
          <w:rFonts w:ascii="Times New Roman" w:hAnsi="Times New Roman" w:cs="Times New Roman"/>
          <w:sz w:val="24"/>
          <w:szCs w:val="24"/>
        </w:rPr>
        <w:t>i njihova struktura u odnosu na prethodno razdoblje je kako slijedi:</w:t>
      </w:r>
    </w:p>
    <w:p w14:paraId="62C4C32C" w14:textId="7CDEF2A2" w:rsidR="000C402D" w:rsidRPr="00D2741E" w:rsidRDefault="00211F04" w:rsidP="001E0AE3">
      <w:pPr>
        <w:pStyle w:val="ListParagraph"/>
        <w:numPr>
          <w:ilvl w:val="0"/>
          <w:numId w:val="1"/>
        </w:numPr>
        <w:jc w:val="both"/>
        <w:rPr>
          <w:rFonts w:ascii="Times New Roman" w:hAnsi="Times New Roman" w:cs="Times New Roman"/>
          <w:sz w:val="24"/>
          <w:szCs w:val="24"/>
        </w:rPr>
      </w:pPr>
      <w:r w:rsidRPr="00D2741E">
        <w:rPr>
          <w:rFonts w:ascii="Times New Roman" w:hAnsi="Times New Roman" w:cs="Times New Roman"/>
          <w:sz w:val="24"/>
          <w:szCs w:val="24"/>
        </w:rPr>
        <w:t>P</w:t>
      </w:r>
      <w:r w:rsidR="00753082" w:rsidRPr="00D2741E">
        <w:rPr>
          <w:rFonts w:ascii="Times New Roman" w:hAnsi="Times New Roman" w:cs="Times New Roman"/>
          <w:sz w:val="24"/>
          <w:szCs w:val="24"/>
        </w:rPr>
        <w:t xml:space="preserve">lanirani rashodi za plaće za zaposlene (IZVOR 11, AKT A628009 - 3111) u nominalnom iznosu </w:t>
      </w:r>
      <w:r w:rsidR="001B1BC0" w:rsidRPr="00D2741E">
        <w:rPr>
          <w:rFonts w:ascii="Times New Roman" w:hAnsi="Times New Roman" w:cs="Times New Roman"/>
          <w:sz w:val="24"/>
          <w:szCs w:val="24"/>
        </w:rPr>
        <w:t>6.060.6</w:t>
      </w:r>
      <w:r w:rsidR="00D6345B" w:rsidRPr="00D2741E">
        <w:rPr>
          <w:rFonts w:ascii="Times New Roman" w:hAnsi="Times New Roman" w:cs="Times New Roman"/>
          <w:sz w:val="24"/>
          <w:szCs w:val="24"/>
        </w:rPr>
        <w:t>00</w:t>
      </w:r>
      <w:r w:rsidR="001C1792" w:rsidRPr="00D2741E">
        <w:rPr>
          <w:rFonts w:ascii="Times New Roman" w:hAnsi="Times New Roman" w:cs="Times New Roman"/>
          <w:sz w:val="24"/>
          <w:szCs w:val="24"/>
        </w:rPr>
        <w:t>,00</w:t>
      </w:r>
      <w:r w:rsidR="00195123" w:rsidRPr="00D2741E">
        <w:rPr>
          <w:rFonts w:ascii="Times New Roman" w:hAnsi="Times New Roman" w:cs="Times New Roman"/>
          <w:sz w:val="24"/>
          <w:szCs w:val="24"/>
        </w:rPr>
        <w:t xml:space="preserve"> EUR</w:t>
      </w:r>
      <w:r w:rsidR="003F25CC" w:rsidRPr="00D2741E">
        <w:rPr>
          <w:rFonts w:ascii="Times New Roman" w:hAnsi="Times New Roman" w:cs="Times New Roman"/>
          <w:sz w:val="24"/>
          <w:szCs w:val="24"/>
        </w:rPr>
        <w:t>.</w:t>
      </w:r>
      <w:r w:rsidR="00753082" w:rsidRPr="00D2741E">
        <w:rPr>
          <w:rFonts w:ascii="Times New Roman" w:hAnsi="Times New Roman" w:cs="Times New Roman"/>
          <w:sz w:val="24"/>
          <w:szCs w:val="24"/>
        </w:rPr>
        <w:t xml:space="preserve"> </w:t>
      </w:r>
      <w:r w:rsidR="002239CA" w:rsidRPr="00D2741E">
        <w:rPr>
          <w:rFonts w:ascii="Times New Roman" w:hAnsi="Times New Roman" w:cs="Times New Roman"/>
          <w:sz w:val="24"/>
          <w:szCs w:val="24"/>
        </w:rPr>
        <w:t>Do povećanja planiranih rashoda u odnosu na 202</w:t>
      </w:r>
      <w:r w:rsidR="001B1BC0" w:rsidRPr="00D2741E">
        <w:rPr>
          <w:rFonts w:ascii="Times New Roman" w:hAnsi="Times New Roman" w:cs="Times New Roman"/>
          <w:sz w:val="24"/>
          <w:szCs w:val="24"/>
        </w:rPr>
        <w:t>5</w:t>
      </w:r>
      <w:r w:rsidR="002239CA" w:rsidRPr="00D2741E">
        <w:rPr>
          <w:rFonts w:ascii="Times New Roman" w:hAnsi="Times New Roman" w:cs="Times New Roman"/>
          <w:sz w:val="24"/>
          <w:szCs w:val="24"/>
        </w:rPr>
        <w:t xml:space="preserve">. godinu dolazi zbog </w:t>
      </w:r>
      <w:r w:rsidR="001B1BC0" w:rsidRPr="00D2741E">
        <w:rPr>
          <w:rFonts w:ascii="Times New Roman" w:hAnsi="Times New Roman" w:cs="Times New Roman"/>
          <w:sz w:val="24"/>
          <w:szCs w:val="24"/>
        </w:rPr>
        <w:t>zapošljavanja stručnjaka u Sigurnosno operativnom centru koji će neprekidno nadzirati sustav, analizirati prijetnje i koordinirati odgovore na incidente. Tim mora uključivati operativne suradnike, viša savjetnika i voditelje, koji zajedno održavaju učinkovitost i razvoj SOC-a.</w:t>
      </w:r>
    </w:p>
    <w:p w14:paraId="221798D6" w14:textId="77777777" w:rsidR="000C402D" w:rsidRPr="00D2741E" w:rsidRDefault="000C402D" w:rsidP="001E0AE3">
      <w:pPr>
        <w:pStyle w:val="ListParagraph"/>
        <w:spacing w:line="240" w:lineRule="auto"/>
        <w:jc w:val="both"/>
        <w:rPr>
          <w:rFonts w:ascii="Times New Roman" w:hAnsi="Times New Roman" w:cs="Times New Roman"/>
          <w:sz w:val="24"/>
          <w:szCs w:val="24"/>
        </w:rPr>
      </w:pPr>
    </w:p>
    <w:p w14:paraId="415DEF28" w14:textId="27A1B5EA" w:rsidR="00B75D79" w:rsidRPr="00D2741E" w:rsidRDefault="00B75D79" w:rsidP="0059172E">
      <w:pPr>
        <w:pStyle w:val="ListParagraph"/>
        <w:numPr>
          <w:ilvl w:val="0"/>
          <w:numId w:val="1"/>
        </w:numPr>
        <w:spacing w:line="240" w:lineRule="auto"/>
        <w:ind w:left="786"/>
        <w:jc w:val="both"/>
        <w:rPr>
          <w:rFonts w:ascii="Times New Roman" w:hAnsi="Times New Roman" w:cs="Times New Roman"/>
          <w:sz w:val="24"/>
          <w:szCs w:val="24"/>
        </w:rPr>
      </w:pPr>
      <w:r w:rsidRPr="00D2741E">
        <w:rPr>
          <w:rFonts w:ascii="Times New Roman" w:hAnsi="Times New Roman" w:cs="Times New Roman"/>
          <w:sz w:val="24"/>
          <w:szCs w:val="24"/>
        </w:rPr>
        <w:t>Planirani rashodi za usluge promidžbe i informiranja (IZVOR 11, AKT A628009 – 3233) u nominalnom iznosu 448.675,00 EUR. Povećanje se djelomično odnosi na nabavu usluge produkcije kampanje „Naivci“ za podizanje svijesti o kibernetičkoj sigurnost</w:t>
      </w:r>
      <w:r w:rsidR="00E703E6">
        <w:rPr>
          <w:rFonts w:ascii="Times New Roman" w:hAnsi="Times New Roman" w:cs="Times New Roman"/>
          <w:sz w:val="24"/>
          <w:szCs w:val="24"/>
        </w:rPr>
        <w:t>i</w:t>
      </w:r>
    </w:p>
    <w:p w14:paraId="4BAC9CAF" w14:textId="77777777" w:rsidR="00B75D79" w:rsidRPr="00D2741E" w:rsidRDefault="00B75D79" w:rsidP="00B75D79">
      <w:pPr>
        <w:pStyle w:val="ListParagraph"/>
        <w:rPr>
          <w:rFonts w:ascii="Times New Roman" w:hAnsi="Times New Roman" w:cs="Times New Roman"/>
          <w:sz w:val="24"/>
          <w:szCs w:val="24"/>
        </w:rPr>
      </w:pPr>
    </w:p>
    <w:p w14:paraId="0415C237" w14:textId="29C9B64D" w:rsidR="00BE5154" w:rsidRPr="00D2741E" w:rsidRDefault="00211F04" w:rsidP="001E0AE3">
      <w:pPr>
        <w:pStyle w:val="ListParagraph"/>
        <w:numPr>
          <w:ilvl w:val="0"/>
          <w:numId w:val="1"/>
        </w:numPr>
        <w:spacing w:line="240" w:lineRule="auto"/>
        <w:jc w:val="both"/>
        <w:rPr>
          <w:rFonts w:ascii="Times New Roman" w:hAnsi="Times New Roman" w:cs="Times New Roman"/>
          <w:sz w:val="24"/>
          <w:szCs w:val="24"/>
        </w:rPr>
      </w:pPr>
      <w:r w:rsidRPr="00D2741E">
        <w:rPr>
          <w:rFonts w:ascii="Times New Roman" w:hAnsi="Times New Roman" w:cs="Times New Roman"/>
          <w:sz w:val="24"/>
          <w:szCs w:val="24"/>
        </w:rPr>
        <w:t>P</w:t>
      </w:r>
      <w:r w:rsidR="00B16B5B" w:rsidRPr="00D2741E">
        <w:rPr>
          <w:rFonts w:ascii="Times New Roman" w:hAnsi="Times New Roman" w:cs="Times New Roman"/>
          <w:sz w:val="24"/>
          <w:szCs w:val="24"/>
        </w:rPr>
        <w:t xml:space="preserve">lanirani rashodi za usluge </w:t>
      </w:r>
      <w:r w:rsidR="0060471E" w:rsidRPr="00D2741E">
        <w:rPr>
          <w:rFonts w:ascii="Times New Roman" w:hAnsi="Times New Roman" w:cs="Times New Roman"/>
          <w:sz w:val="24"/>
          <w:szCs w:val="24"/>
        </w:rPr>
        <w:t>zakupnina i najamnina</w:t>
      </w:r>
      <w:r w:rsidR="00B16B5B" w:rsidRPr="00D2741E">
        <w:rPr>
          <w:rFonts w:ascii="Times New Roman" w:hAnsi="Times New Roman" w:cs="Times New Roman"/>
          <w:sz w:val="24"/>
          <w:szCs w:val="24"/>
        </w:rPr>
        <w:t xml:space="preserve"> (IZVOR 11, AKT A628009 – 323</w:t>
      </w:r>
      <w:r w:rsidR="00BE5154" w:rsidRPr="00D2741E">
        <w:rPr>
          <w:rFonts w:ascii="Times New Roman" w:hAnsi="Times New Roman" w:cs="Times New Roman"/>
          <w:sz w:val="24"/>
          <w:szCs w:val="24"/>
        </w:rPr>
        <w:t>5</w:t>
      </w:r>
      <w:r w:rsidR="00B16B5B" w:rsidRPr="00D2741E">
        <w:rPr>
          <w:rFonts w:ascii="Times New Roman" w:hAnsi="Times New Roman" w:cs="Times New Roman"/>
          <w:sz w:val="24"/>
          <w:szCs w:val="24"/>
        </w:rPr>
        <w:t xml:space="preserve">) u nominalnom iznosu </w:t>
      </w:r>
      <w:r w:rsidR="00B75D79" w:rsidRPr="00D2741E">
        <w:rPr>
          <w:rFonts w:ascii="Times New Roman" w:hAnsi="Times New Roman" w:cs="Times New Roman"/>
          <w:sz w:val="24"/>
          <w:szCs w:val="24"/>
        </w:rPr>
        <w:t>2.424.775</w:t>
      </w:r>
      <w:r w:rsidR="000C402D" w:rsidRPr="00D2741E">
        <w:rPr>
          <w:rFonts w:ascii="Times New Roman" w:hAnsi="Times New Roman" w:cs="Times New Roman"/>
          <w:sz w:val="24"/>
          <w:szCs w:val="24"/>
        </w:rPr>
        <w:t xml:space="preserve">,00 </w:t>
      </w:r>
      <w:r w:rsidR="00195123" w:rsidRPr="00D2741E">
        <w:rPr>
          <w:rFonts w:ascii="Times New Roman" w:hAnsi="Times New Roman" w:cs="Times New Roman"/>
          <w:sz w:val="24"/>
          <w:szCs w:val="24"/>
        </w:rPr>
        <w:t>EUR</w:t>
      </w:r>
      <w:r w:rsidR="00B16B5B" w:rsidRPr="00D2741E">
        <w:rPr>
          <w:rFonts w:ascii="Times New Roman" w:hAnsi="Times New Roman" w:cs="Times New Roman"/>
          <w:sz w:val="24"/>
          <w:szCs w:val="24"/>
        </w:rPr>
        <w:t xml:space="preserve">. </w:t>
      </w:r>
      <w:r w:rsidR="00BE5154" w:rsidRPr="00D2741E">
        <w:rPr>
          <w:rFonts w:ascii="Times New Roman" w:hAnsi="Times New Roman" w:cs="Times New Roman"/>
          <w:sz w:val="24"/>
          <w:szCs w:val="24"/>
        </w:rPr>
        <w:t xml:space="preserve">Povećanje se </w:t>
      </w:r>
      <w:r w:rsidR="001C1792" w:rsidRPr="00D2741E">
        <w:rPr>
          <w:rFonts w:ascii="Times New Roman" w:hAnsi="Times New Roman" w:cs="Times New Roman"/>
          <w:sz w:val="24"/>
          <w:szCs w:val="24"/>
        </w:rPr>
        <w:t>djelomično</w:t>
      </w:r>
      <w:r w:rsidR="00BE5154" w:rsidRPr="00D2741E">
        <w:rPr>
          <w:rFonts w:ascii="Times New Roman" w:hAnsi="Times New Roman" w:cs="Times New Roman"/>
          <w:sz w:val="24"/>
          <w:szCs w:val="24"/>
        </w:rPr>
        <w:t xml:space="preserve"> odnosi na </w:t>
      </w:r>
      <w:r w:rsidR="00B75D79" w:rsidRPr="00D2741E">
        <w:rPr>
          <w:rFonts w:ascii="Times New Roman" w:hAnsi="Times New Roman" w:cs="Times New Roman"/>
          <w:sz w:val="24"/>
          <w:szCs w:val="24"/>
        </w:rPr>
        <w:t>nabavu rješenja za sigurnosnu zaštitu korisničkih uređaja i opreme, zatim na nabavu licenci za threat intelligence i analitičke alate, nabavu licenci za korištenje anti-virusnog programskog paketa jer se zbog zbog zahtjeva usklađenosti na području kibernetičke sigurnosti prelazim na drugo rješenje na razini ustanove</w:t>
      </w:r>
    </w:p>
    <w:p w14:paraId="39BC62CF" w14:textId="77777777" w:rsidR="00BE5154" w:rsidRPr="00D2741E" w:rsidRDefault="00BE5154" w:rsidP="001E0AE3">
      <w:pPr>
        <w:pStyle w:val="ListParagraph"/>
        <w:jc w:val="both"/>
        <w:rPr>
          <w:rFonts w:ascii="Times New Roman" w:hAnsi="Times New Roman" w:cs="Times New Roman"/>
          <w:sz w:val="24"/>
          <w:szCs w:val="24"/>
        </w:rPr>
      </w:pPr>
    </w:p>
    <w:p w14:paraId="20138B2C" w14:textId="07671A0D" w:rsidR="00CD1B89" w:rsidRPr="00D2741E" w:rsidRDefault="00CD1B89" w:rsidP="001E0AE3">
      <w:pPr>
        <w:pStyle w:val="ListParagraph"/>
        <w:numPr>
          <w:ilvl w:val="0"/>
          <w:numId w:val="1"/>
        </w:numPr>
        <w:jc w:val="both"/>
        <w:rPr>
          <w:rFonts w:ascii="Times New Roman" w:hAnsi="Times New Roman" w:cs="Times New Roman"/>
          <w:sz w:val="24"/>
          <w:szCs w:val="24"/>
        </w:rPr>
      </w:pPr>
      <w:r w:rsidRPr="00D2741E">
        <w:rPr>
          <w:rFonts w:ascii="Times New Roman" w:hAnsi="Times New Roman" w:cs="Times New Roman"/>
          <w:sz w:val="24"/>
          <w:szCs w:val="24"/>
        </w:rPr>
        <w:t>Planirani rashodi za računalne usluge (IZVOR 11, AKT A628009 – 3238) u nominalnom iznosu 1.025.795,00 EUR. Uz redovne troškove na toj aktivnosti i stavci, jedan od većih troškova je nabava usluge provedbe sigurnosnih testiranja aplikacija i usluga</w:t>
      </w:r>
    </w:p>
    <w:p w14:paraId="28CECCDC" w14:textId="77777777" w:rsidR="00CD1B89" w:rsidRPr="00D2741E" w:rsidRDefault="00CD1B89" w:rsidP="00CD1B89">
      <w:pPr>
        <w:pStyle w:val="ListParagraph"/>
        <w:rPr>
          <w:rFonts w:ascii="Times New Roman" w:hAnsi="Times New Roman" w:cs="Times New Roman"/>
          <w:sz w:val="24"/>
          <w:szCs w:val="24"/>
        </w:rPr>
      </w:pPr>
    </w:p>
    <w:p w14:paraId="601FF3DE" w14:textId="1B0C6F7A" w:rsidR="00825C69" w:rsidRPr="00D2741E" w:rsidRDefault="000C402D" w:rsidP="001E0AE3">
      <w:pPr>
        <w:pStyle w:val="ListParagraph"/>
        <w:numPr>
          <w:ilvl w:val="0"/>
          <w:numId w:val="1"/>
        </w:numPr>
        <w:jc w:val="both"/>
        <w:rPr>
          <w:rFonts w:ascii="Times New Roman" w:hAnsi="Times New Roman" w:cs="Times New Roman"/>
          <w:sz w:val="24"/>
          <w:szCs w:val="24"/>
        </w:rPr>
      </w:pPr>
      <w:r w:rsidRPr="00D2741E">
        <w:rPr>
          <w:rFonts w:ascii="Times New Roman" w:hAnsi="Times New Roman" w:cs="Times New Roman"/>
          <w:sz w:val="24"/>
          <w:szCs w:val="24"/>
        </w:rPr>
        <w:t xml:space="preserve">Planirani rashodi za </w:t>
      </w:r>
      <w:r w:rsidR="0060471E" w:rsidRPr="00D2741E">
        <w:rPr>
          <w:rFonts w:ascii="Times New Roman" w:hAnsi="Times New Roman" w:cs="Times New Roman"/>
          <w:sz w:val="24"/>
          <w:szCs w:val="24"/>
        </w:rPr>
        <w:t>tekuće donacije u novcu</w:t>
      </w:r>
      <w:r w:rsidRPr="00D2741E">
        <w:rPr>
          <w:rFonts w:ascii="Times New Roman" w:hAnsi="Times New Roman" w:cs="Times New Roman"/>
          <w:sz w:val="24"/>
          <w:szCs w:val="24"/>
        </w:rPr>
        <w:t xml:space="preserve"> (IZVOR 11, AKT A628009 – 3</w:t>
      </w:r>
      <w:r w:rsidR="00BE5154" w:rsidRPr="00D2741E">
        <w:rPr>
          <w:rFonts w:ascii="Times New Roman" w:hAnsi="Times New Roman" w:cs="Times New Roman"/>
          <w:sz w:val="24"/>
          <w:szCs w:val="24"/>
        </w:rPr>
        <w:t>811</w:t>
      </w:r>
      <w:r w:rsidRPr="00D2741E">
        <w:rPr>
          <w:rFonts w:ascii="Times New Roman" w:hAnsi="Times New Roman" w:cs="Times New Roman"/>
          <w:sz w:val="24"/>
          <w:szCs w:val="24"/>
        </w:rPr>
        <w:t xml:space="preserve">) u nominalnom iznosu </w:t>
      </w:r>
      <w:r w:rsidR="00CD1B89" w:rsidRPr="00D2741E">
        <w:rPr>
          <w:rFonts w:ascii="Times New Roman" w:hAnsi="Times New Roman" w:cs="Times New Roman"/>
          <w:sz w:val="24"/>
          <w:szCs w:val="24"/>
        </w:rPr>
        <w:t>1.0</w:t>
      </w:r>
      <w:r w:rsidR="00BE5154" w:rsidRPr="00D2741E">
        <w:rPr>
          <w:rFonts w:ascii="Times New Roman" w:hAnsi="Times New Roman" w:cs="Times New Roman"/>
          <w:sz w:val="24"/>
          <w:szCs w:val="24"/>
        </w:rPr>
        <w:t>00.000</w:t>
      </w:r>
      <w:r w:rsidRPr="00D2741E">
        <w:rPr>
          <w:rFonts w:ascii="Times New Roman" w:hAnsi="Times New Roman" w:cs="Times New Roman"/>
          <w:sz w:val="24"/>
          <w:szCs w:val="24"/>
        </w:rPr>
        <w:t xml:space="preserve">,00 EUR. </w:t>
      </w:r>
      <w:r w:rsidR="00BE5154" w:rsidRPr="00D2741E">
        <w:rPr>
          <w:rFonts w:ascii="Times New Roman" w:hAnsi="Times New Roman" w:cs="Times New Roman"/>
          <w:sz w:val="24"/>
          <w:szCs w:val="24"/>
        </w:rPr>
        <w:t xml:space="preserve">Troškovi se odnose na </w:t>
      </w:r>
      <w:r w:rsidR="00BE5154" w:rsidRPr="00D2741E">
        <w:rPr>
          <w:rFonts w:ascii="Times New Roman" w:hAnsi="Times New Roman" w:cs="Times New Roman"/>
          <w:bCs/>
          <w:sz w:val="24"/>
          <w:szCs w:val="24"/>
        </w:rPr>
        <w:t>projekt „</w:t>
      </w:r>
      <w:r w:rsidR="00BE5154" w:rsidRPr="00D2741E">
        <w:rPr>
          <w:rFonts w:ascii="Times New Roman" w:hAnsi="Times New Roman" w:cs="Times New Roman"/>
          <w:bCs/>
          <w:sz w:val="24"/>
          <w:szCs w:val="24"/>
          <w:lang w:val="en-US"/>
        </w:rPr>
        <w:t>Uspostava Nacionalnog koordinacijskog središta za industriju, tehnologiju i istraživanja u području kibernetičke sigurnosti”, a</w:t>
      </w:r>
      <w:r w:rsidR="00BE5154" w:rsidRPr="00D2741E">
        <w:rPr>
          <w:rFonts w:ascii="Times New Roman" w:hAnsi="Times New Roman" w:cs="Times New Roman"/>
          <w:sz w:val="24"/>
          <w:szCs w:val="24"/>
        </w:rPr>
        <w:t xml:space="preserve"> uključuju sredstva koja su namijenjena za financiranje trećih strana (kaskadno financiranje) koje će se provesti kroz</w:t>
      </w:r>
      <w:r w:rsidR="001C60BC" w:rsidRPr="00D2741E">
        <w:rPr>
          <w:rFonts w:ascii="Times New Roman" w:hAnsi="Times New Roman" w:cs="Times New Roman"/>
          <w:sz w:val="24"/>
          <w:szCs w:val="24"/>
        </w:rPr>
        <w:t xml:space="preserve"> </w:t>
      </w:r>
      <w:r w:rsidR="00BE5154" w:rsidRPr="00D2741E">
        <w:rPr>
          <w:rFonts w:ascii="Times New Roman" w:hAnsi="Times New Roman" w:cs="Times New Roman"/>
          <w:sz w:val="24"/>
          <w:szCs w:val="24"/>
        </w:rPr>
        <w:t xml:space="preserve">najmanje dva otvorena </w:t>
      </w:r>
      <w:r w:rsidR="001C60BC" w:rsidRPr="00D2741E">
        <w:rPr>
          <w:rFonts w:ascii="Times New Roman" w:hAnsi="Times New Roman" w:cs="Times New Roman"/>
          <w:sz w:val="24"/>
          <w:szCs w:val="24"/>
        </w:rPr>
        <w:t>p</w:t>
      </w:r>
      <w:r w:rsidR="00BE5154" w:rsidRPr="00D2741E">
        <w:rPr>
          <w:rFonts w:ascii="Times New Roman" w:hAnsi="Times New Roman" w:cs="Times New Roman"/>
          <w:sz w:val="24"/>
          <w:szCs w:val="24"/>
        </w:rPr>
        <w:t xml:space="preserve">oziva </w:t>
      </w:r>
      <w:r w:rsidR="00BE5154" w:rsidRPr="00D2741E">
        <w:rPr>
          <w:rFonts w:ascii="Times New Roman" w:hAnsi="Times New Roman" w:cs="Times New Roman"/>
          <w:sz w:val="24"/>
          <w:szCs w:val="24"/>
        </w:rPr>
        <w:lastRenderedPageBreak/>
        <w:t xml:space="preserve">na dostavu projektnih prijedloga . Pozivi će biti usmjereni na NKS-ove korisnike kao što su MSP-ovi, akademska zajednica, industrija, civilno društvo i drugi, a NKS će osigurati 50% financiranja njihovih projektnih prijedloga koji će biti pozitivno ocijenjeni, a koji pokrivaju </w:t>
      </w:r>
      <w:r w:rsidR="001C60BC" w:rsidRPr="00D2741E">
        <w:rPr>
          <w:rFonts w:ascii="Times New Roman" w:hAnsi="Times New Roman" w:cs="Times New Roman"/>
          <w:sz w:val="24"/>
          <w:szCs w:val="24"/>
        </w:rPr>
        <w:t>p</w:t>
      </w:r>
      <w:r w:rsidR="00BE5154" w:rsidRPr="00D2741E">
        <w:rPr>
          <w:rFonts w:ascii="Times New Roman" w:hAnsi="Times New Roman" w:cs="Times New Roman"/>
          <w:sz w:val="24"/>
          <w:szCs w:val="24"/>
        </w:rPr>
        <w:t>ozivom definirane teme iz područja kibernetičke sigurnosti.</w:t>
      </w:r>
    </w:p>
    <w:p w14:paraId="431F86F3" w14:textId="77777777" w:rsidR="00BE5154" w:rsidRPr="00D2741E" w:rsidRDefault="00BE5154" w:rsidP="001E0AE3">
      <w:pPr>
        <w:pStyle w:val="ListParagraph"/>
        <w:jc w:val="both"/>
        <w:rPr>
          <w:rFonts w:ascii="Times New Roman" w:hAnsi="Times New Roman" w:cs="Times New Roman"/>
          <w:sz w:val="24"/>
          <w:szCs w:val="24"/>
        </w:rPr>
      </w:pPr>
    </w:p>
    <w:p w14:paraId="37763562" w14:textId="793932E2" w:rsidR="0060471E" w:rsidRPr="00D2741E" w:rsidRDefault="00825C69" w:rsidP="001D72D4">
      <w:pPr>
        <w:pStyle w:val="ListParagraph"/>
        <w:numPr>
          <w:ilvl w:val="0"/>
          <w:numId w:val="1"/>
        </w:numPr>
        <w:jc w:val="both"/>
        <w:rPr>
          <w:rFonts w:ascii="Times New Roman" w:hAnsi="Times New Roman" w:cs="Times New Roman"/>
          <w:sz w:val="24"/>
          <w:szCs w:val="24"/>
        </w:rPr>
      </w:pPr>
      <w:r w:rsidRPr="00D2741E">
        <w:rPr>
          <w:rFonts w:ascii="Times New Roman" w:hAnsi="Times New Roman" w:cs="Times New Roman"/>
          <w:sz w:val="24"/>
          <w:szCs w:val="24"/>
        </w:rPr>
        <w:t xml:space="preserve">Planirani rashodi za </w:t>
      </w:r>
      <w:r w:rsidR="00CD1B89" w:rsidRPr="00D2741E">
        <w:rPr>
          <w:rFonts w:ascii="Times New Roman" w:hAnsi="Times New Roman" w:cs="Times New Roman"/>
          <w:sz w:val="24"/>
          <w:szCs w:val="24"/>
        </w:rPr>
        <w:t>računalne</w:t>
      </w:r>
      <w:r w:rsidRPr="00D2741E">
        <w:rPr>
          <w:rFonts w:ascii="Times New Roman" w:hAnsi="Times New Roman" w:cs="Times New Roman"/>
          <w:sz w:val="24"/>
          <w:szCs w:val="24"/>
        </w:rPr>
        <w:t xml:space="preserve"> usluge (IZVOR 11, AKT A628070, 323</w:t>
      </w:r>
      <w:r w:rsidR="00CD1B89" w:rsidRPr="00D2741E">
        <w:rPr>
          <w:rFonts w:ascii="Times New Roman" w:hAnsi="Times New Roman" w:cs="Times New Roman"/>
          <w:sz w:val="24"/>
          <w:szCs w:val="24"/>
        </w:rPr>
        <w:t>8</w:t>
      </w:r>
      <w:r w:rsidRPr="00D2741E">
        <w:rPr>
          <w:rFonts w:ascii="Times New Roman" w:hAnsi="Times New Roman" w:cs="Times New Roman"/>
          <w:sz w:val="24"/>
          <w:szCs w:val="24"/>
        </w:rPr>
        <w:t xml:space="preserve">) u nominalnom iznosu </w:t>
      </w:r>
      <w:r w:rsidR="00CD1B89" w:rsidRPr="00D2741E">
        <w:rPr>
          <w:rFonts w:ascii="Times New Roman" w:hAnsi="Times New Roman" w:cs="Times New Roman"/>
          <w:sz w:val="24"/>
          <w:szCs w:val="24"/>
        </w:rPr>
        <w:t>1.</w:t>
      </w:r>
      <w:r w:rsidR="00093AE4">
        <w:rPr>
          <w:rFonts w:ascii="Times New Roman" w:hAnsi="Times New Roman" w:cs="Times New Roman"/>
          <w:sz w:val="24"/>
          <w:szCs w:val="24"/>
        </w:rPr>
        <w:t>2</w:t>
      </w:r>
      <w:r w:rsidR="00CD1B89" w:rsidRPr="00D2741E">
        <w:rPr>
          <w:rFonts w:ascii="Times New Roman" w:hAnsi="Times New Roman" w:cs="Times New Roman"/>
          <w:sz w:val="24"/>
          <w:szCs w:val="24"/>
        </w:rPr>
        <w:t>70.615</w:t>
      </w:r>
      <w:r w:rsidRPr="00D2741E">
        <w:rPr>
          <w:rFonts w:ascii="Times New Roman" w:hAnsi="Times New Roman" w:cs="Times New Roman"/>
          <w:sz w:val="24"/>
          <w:szCs w:val="24"/>
        </w:rPr>
        <w:t xml:space="preserve">,00 EUR. </w:t>
      </w:r>
      <w:r w:rsidR="004E428E" w:rsidRPr="00D2741E">
        <w:rPr>
          <w:rFonts w:ascii="Times New Roman" w:hAnsi="Times New Roman" w:cs="Times New Roman"/>
          <w:sz w:val="24"/>
          <w:szCs w:val="24"/>
        </w:rPr>
        <w:t>Do značajnog povećanja planiranih sredstava na stavci u 202</w:t>
      </w:r>
      <w:r w:rsidR="00CD1B89" w:rsidRPr="00D2741E">
        <w:rPr>
          <w:rFonts w:ascii="Times New Roman" w:hAnsi="Times New Roman" w:cs="Times New Roman"/>
          <w:sz w:val="24"/>
          <w:szCs w:val="24"/>
        </w:rPr>
        <w:t>6. godini dolazi zbog nabave Cjelovitog programskog rješenja faza 1, odnosno održavanja (operativna podrška) za module: e-OŠ, e-Vrtići, NISOO, Portal obrazovanja i Izvještajni sustav</w:t>
      </w:r>
      <w:r w:rsidR="001D72D4" w:rsidRPr="00D2741E">
        <w:rPr>
          <w:rFonts w:ascii="Times New Roman" w:hAnsi="Times New Roman" w:cs="Times New Roman"/>
          <w:sz w:val="24"/>
          <w:szCs w:val="24"/>
        </w:rPr>
        <w:t xml:space="preserve">. </w:t>
      </w:r>
      <w:r w:rsidR="00975FF7" w:rsidRPr="00D2741E">
        <w:rPr>
          <w:rFonts w:ascii="Times New Roman" w:hAnsi="Times New Roman" w:cs="Times New Roman"/>
          <w:sz w:val="24"/>
          <w:szCs w:val="24"/>
        </w:rPr>
        <w:t>Nadalje, sa stavke će se financirati i</w:t>
      </w:r>
      <w:r w:rsidR="0060471E" w:rsidRPr="00D2741E">
        <w:rPr>
          <w:rFonts w:ascii="Times New Roman" w:hAnsi="Times New Roman" w:cs="Times New Roman"/>
          <w:sz w:val="24"/>
          <w:szCs w:val="24"/>
        </w:rPr>
        <w:t xml:space="preserve"> </w:t>
      </w:r>
      <w:r w:rsidR="001D72D4" w:rsidRPr="00D2741E">
        <w:rPr>
          <w:rFonts w:ascii="Times New Roman" w:hAnsi="Times New Roman" w:cs="Times New Roman"/>
          <w:sz w:val="24"/>
          <w:szCs w:val="24"/>
        </w:rPr>
        <w:t>nabava rješenja za prikupljanje i obradu sistemskih zapisa, a riječ je o sofveru koji radi s ograničenom licencom po kapacitetu obrade zapisa</w:t>
      </w:r>
      <w:r w:rsidR="00F80B96" w:rsidRPr="00D2741E">
        <w:rPr>
          <w:rFonts w:ascii="Times New Roman" w:hAnsi="Times New Roman" w:cs="Times New Roman"/>
          <w:sz w:val="24"/>
          <w:szCs w:val="24"/>
        </w:rPr>
        <w:t>, te održavanje sustava CARNET info - korisnički portal koji uz administraciju osobnih podataka i odabir usluga korisnicima omogućava i pristup personaliziranoj korisničkoj podršci, uvid u podatke o CARNET-ovim uslugama, aplikacijama i projektnim aktivnostima korištenjem različitih baza i izvora podataka te izvještajima iz povezanih sustava, održavanje sustava CARNET sigma, održavanje sustava za upravljanje mobilnim uređajima, održavanje sustava za administraciju učeničkih domova, nabava usluge održavanja sustava e-Matica te ostale nabave održavanja sustava CARNET-ovih korisničkih sustava za pružanje usluga krajnjim korisnicima.</w:t>
      </w:r>
    </w:p>
    <w:p w14:paraId="43A1A7C3" w14:textId="77777777" w:rsidR="00825C69" w:rsidRPr="00D2741E" w:rsidRDefault="00825C69" w:rsidP="001E0AE3">
      <w:pPr>
        <w:pStyle w:val="ListParagraph"/>
        <w:jc w:val="both"/>
        <w:rPr>
          <w:rFonts w:ascii="Times New Roman" w:hAnsi="Times New Roman" w:cs="Times New Roman"/>
          <w:sz w:val="24"/>
          <w:szCs w:val="24"/>
        </w:rPr>
      </w:pPr>
    </w:p>
    <w:p w14:paraId="3604E730" w14:textId="03EFA2B2" w:rsidR="00A02883" w:rsidRPr="00D2741E" w:rsidRDefault="00825C69" w:rsidP="00A02883">
      <w:pPr>
        <w:pStyle w:val="ListParagraph"/>
        <w:numPr>
          <w:ilvl w:val="0"/>
          <w:numId w:val="1"/>
        </w:numPr>
        <w:jc w:val="both"/>
        <w:rPr>
          <w:rFonts w:ascii="Times New Roman" w:hAnsi="Times New Roman" w:cs="Times New Roman"/>
          <w:sz w:val="24"/>
          <w:szCs w:val="24"/>
        </w:rPr>
      </w:pPr>
      <w:r w:rsidRPr="00D2741E">
        <w:rPr>
          <w:rFonts w:ascii="Times New Roman" w:hAnsi="Times New Roman" w:cs="Times New Roman"/>
          <w:sz w:val="24"/>
          <w:szCs w:val="24"/>
        </w:rPr>
        <w:t xml:space="preserve">Planirani rashodi za </w:t>
      </w:r>
      <w:r w:rsidR="0060471E" w:rsidRPr="00D2741E">
        <w:rPr>
          <w:rFonts w:ascii="Times New Roman" w:hAnsi="Times New Roman" w:cs="Times New Roman"/>
          <w:sz w:val="24"/>
          <w:szCs w:val="24"/>
        </w:rPr>
        <w:t>licence</w:t>
      </w:r>
      <w:r w:rsidRPr="00D2741E">
        <w:rPr>
          <w:rFonts w:ascii="Times New Roman" w:hAnsi="Times New Roman" w:cs="Times New Roman"/>
          <w:sz w:val="24"/>
          <w:szCs w:val="24"/>
        </w:rPr>
        <w:t xml:space="preserve"> (IZVOR 11, AKT K406669, 4</w:t>
      </w:r>
      <w:r w:rsidR="0060471E" w:rsidRPr="00D2741E">
        <w:rPr>
          <w:rFonts w:ascii="Times New Roman" w:hAnsi="Times New Roman" w:cs="Times New Roman"/>
          <w:sz w:val="24"/>
          <w:szCs w:val="24"/>
        </w:rPr>
        <w:t>123</w:t>
      </w:r>
      <w:r w:rsidRPr="00D2741E">
        <w:rPr>
          <w:rFonts w:ascii="Times New Roman" w:hAnsi="Times New Roman" w:cs="Times New Roman"/>
          <w:sz w:val="24"/>
          <w:szCs w:val="24"/>
        </w:rPr>
        <w:t xml:space="preserve">) u nominalnom iznosu </w:t>
      </w:r>
      <w:r w:rsidR="00D03592" w:rsidRPr="00D2741E">
        <w:rPr>
          <w:rFonts w:ascii="Times New Roman" w:hAnsi="Times New Roman" w:cs="Times New Roman"/>
          <w:sz w:val="24"/>
          <w:szCs w:val="24"/>
        </w:rPr>
        <w:t>938.490</w:t>
      </w:r>
      <w:r w:rsidRPr="00D2741E">
        <w:rPr>
          <w:rFonts w:ascii="Times New Roman" w:hAnsi="Times New Roman" w:cs="Times New Roman"/>
          <w:sz w:val="24"/>
          <w:szCs w:val="24"/>
        </w:rPr>
        <w:t>,00 EUR. Povećanje planiranih rashoda</w:t>
      </w:r>
      <w:r w:rsidR="008B77D6" w:rsidRPr="00D2741E">
        <w:rPr>
          <w:rFonts w:ascii="Times New Roman" w:hAnsi="Times New Roman" w:cs="Times New Roman"/>
          <w:sz w:val="24"/>
          <w:szCs w:val="24"/>
        </w:rPr>
        <w:t xml:space="preserve"> na stavci</w:t>
      </w:r>
      <w:r w:rsidRPr="00D2741E">
        <w:rPr>
          <w:rFonts w:ascii="Times New Roman" w:hAnsi="Times New Roman" w:cs="Times New Roman"/>
          <w:sz w:val="24"/>
          <w:szCs w:val="24"/>
        </w:rPr>
        <w:t xml:space="preserve"> odnosi se na</w:t>
      </w:r>
      <w:r w:rsidR="008B77D6" w:rsidRPr="00D2741E">
        <w:rPr>
          <w:rFonts w:ascii="Times New Roman" w:hAnsi="Times New Roman" w:cs="Times New Roman"/>
          <w:sz w:val="24"/>
          <w:szCs w:val="24"/>
        </w:rPr>
        <w:t xml:space="preserve"> </w:t>
      </w:r>
      <w:r w:rsidR="00D03592" w:rsidRPr="00D2741E">
        <w:rPr>
          <w:rFonts w:ascii="Times New Roman" w:hAnsi="Times New Roman" w:cs="Times New Roman"/>
          <w:sz w:val="24"/>
          <w:szCs w:val="24"/>
        </w:rPr>
        <w:t xml:space="preserve">nabavu licenci za CN riznicu, riječ je o licenciranju nove verzije ERP sustava s ciljem unaprjeđenja operativne učinkovitosti i digitalne integracije poslovanja, te na </w:t>
      </w:r>
      <w:r w:rsidR="004B0E96" w:rsidRPr="00D2741E">
        <w:rPr>
          <w:rFonts w:ascii="Times New Roman" w:hAnsi="Times New Roman" w:cs="Times New Roman"/>
          <w:sz w:val="24"/>
          <w:szCs w:val="24"/>
        </w:rPr>
        <w:t>nabavu softverske licence za sigurnosne alate (kao što su SIEM, EDR, XDR) koje omogućuju pravovremenu detekciju i upravljanje prijetnjama tijekom cijelog razdoblja korištenja</w:t>
      </w:r>
      <w:r w:rsidR="00141198" w:rsidRPr="00D2741E">
        <w:rPr>
          <w:rFonts w:ascii="Times New Roman" w:hAnsi="Times New Roman" w:cs="Times New Roman"/>
          <w:sz w:val="24"/>
          <w:szCs w:val="24"/>
        </w:rPr>
        <w:t xml:space="preserve"> za </w:t>
      </w:r>
      <w:r w:rsidR="004B0E96" w:rsidRPr="00D2741E">
        <w:rPr>
          <w:rFonts w:ascii="Times New Roman" w:hAnsi="Times New Roman" w:cs="Times New Roman"/>
          <w:sz w:val="24"/>
          <w:szCs w:val="24"/>
        </w:rPr>
        <w:t>zaštitu Sigurnosno operativnog centra</w:t>
      </w:r>
    </w:p>
    <w:p w14:paraId="539F46DC" w14:textId="77777777" w:rsidR="004B0E96" w:rsidRPr="00D2741E" w:rsidRDefault="004B0E96" w:rsidP="004B0E96">
      <w:pPr>
        <w:pStyle w:val="ListParagraph"/>
        <w:jc w:val="both"/>
        <w:rPr>
          <w:rFonts w:ascii="Times New Roman" w:hAnsi="Times New Roman" w:cs="Times New Roman"/>
          <w:sz w:val="24"/>
          <w:szCs w:val="24"/>
        </w:rPr>
      </w:pPr>
    </w:p>
    <w:p w14:paraId="7B766652" w14:textId="291FE226" w:rsidR="00870EF5" w:rsidRPr="00D2741E" w:rsidRDefault="00A02883" w:rsidP="00870EF5">
      <w:pPr>
        <w:pStyle w:val="ListParagraph"/>
        <w:numPr>
          <w:ilvl w:val="0"/>
          <w:numId w:val="1"/>
        </w:numPr>
        <w:jc w:val="both"/>
        <w:rPr>
          <w:rFonts w:ascii="Times New Roman" w:hAnsi="Times New Roman" w:cs="Times New Roman"/>
          <w:sz w:val="24"/>
          <w:szCs w:val="24"/>
          <w:lang w:val="en-US"/>
        </w:rPr>
      </w:pPr>
      <w:r w:rsidRPr="00D2741E">
        <w:rPr>
          <w:rFonts w:ascii="Times New Roman" w:hAnsi="Times New Roman" w:cs="Times New Roman"/>
          <w:sz w:val="24"/>
          <w:szCs w:val="24"/>
        </w:rPr>
        <w:t xml:space="preserve">Planirani rashodi za </w:t>
      </w:r>
      <w:r w:rsidR="00870EF5" w:rsidRPr="00D2741E">
        <w:rPr>
          <w:rFonts w:ascii="Times New Roman" w:hAnsi="Times New Roman" w:cs="Times New Roman"/>
          <w:sz w:val="24"/>
          <w:szCs w:val="24"/>
        </w:rPr>
        <w:t>u</w:t>
      </w:r>
      <w:r w:rsidR="000077A4" w:rsidRPr="00D2741E">
        <w:rPr>
          <w:rFonts w:ascii="Times New Roman" w:hAnsi="Times New Roman" w:cs="Times New Roman"/>
          <w:sz w:val="24"/>
          <w:szCs w:val="24"/>
        </w:rPr>
        <w:t>redsk</w:t>
      </w:r>
      <w:r w:rsidR="00870EF5" w:rsidRPr="00D2741E">
        <w:rPr>
          <w:rFonts w:ascii="Times New Roman" w:hAnsi="Times New Roman" w:cs="Times New Roman"/>
          <w:sz w:val="24"/>
          <w:szCs w:val="24"/>
        </w:rPr>
        <w:t>u</w:t>
      </w:r>
      <w:r w:rsidR="000077A4" w:rsidRPr="00D2741E">
        <w:rPr>
          <w:rFonts w:ascii="Times New Roman" w:hAnsi="Times New Roman" w:cs="Times New Roman"/>
          <w:sz w:val="24"/>
          <w:szCs w:val="24"/>
        </w:rPr>
        <w:t xml:space="preserve"> oprem</w:t>
      </w:r>
      <w:r w:rsidR="00870EF5" w:rsidRPr="00D2741E">
        <w:rPr>
          <w:rFonts w:ascii="Times New Roman" w:hAnsi="Times New Roman" w:cs="Times New Roman"/>
          <w:sz w:val="24"/>
          <w:szCs w:val="24"/>
        </w:rPr>
        <w:t>u</w:t>
      </w:r>
      <w:r w:rsidR="000077A4" w:rsidRPr="00D2741E">
        <w:rPr>
          <w:rFonts w:ascii="Times New Roman" w:hAnsi="Times New Roman" w:cs="Times New Roman"/>
          <w:sz w:val="24"/>
          <w:szCs w:val="24"/>
        </w:rPr>
        <w:t xml:space="preserve"> i namještaj (IZVOR 11, AKT K406669, 4221)</w:t>
      </w:r>
      <w:r w:rsidR="00870EF5" w:rsidRPr="00D2741E">
        <w:rPr>
          <w:rFonts w:ascii="Times New Roman" w:hAnsi="Times New Roman" w:cs="Times New Roman"/>
          <w:sz w:val="24"/>
          <w:szCs w:val="24"/>
        </w:rPr>
        <w:t xml:space="preserve"> u nominalnom iznosu </w:t>
      </w:r>
      <w:r w:rsidR="00093AE4">
        <w:rPr>
          <w:rFonts w:ascii="Times New Roman" w:hAnsi="Times New Roman" w:cs="Times New Roman"/>
          <w:sz w:val="24"/>
          <w:szCs w:val="24"/>
        </w:rPr>
        <w:t>1.7</w:t>
      </w:r>
      <w:r w:rsidR="00870EF5" w:rsidRPr="00D2741E">
        <w:rPr>
          <w:rFonts w:ascii="Times New Roman" w:hAnsi="Times New Roman" w:cs="Times New Roman"/>
          <w:sz w:val="24"/>
          <w:szCs w:val="24"/>
        </w:rPr>
        <w:t xml:space="preserve">82.545,00 EUR. Povećanje rashoda na ovoj stavci odnosi se na nadogradnje kritične infrastrukture i usklađivanje s NIS2 direktivnom, zakonodavni akt Europske unije čiji je cilj jačanje kibernetičke sigurnosti na području EU-a, a glavni cilj je povećati otpornost na kibernetičke prijetnje u kritičnim sektorima i cjelokupnom gospodarstvu. Nadalje, potrebno je osigurati sredstva za nabavu sustava za pohranu podataka čija namjena je osigurati centraliziranu i pouzdanu pohranu za trenutne i buduće podatke organizacije (VM-ovi, baze podataka, arhive, backup-i i slično). U ovoj nabavi uključeni su hardver i pripadajući softver/licence te petogodišnje održavanje i jamstvo. Također za potrebe </w:t>
      </w:r>
      <w:r w:rsidR="00870EF5" w:rsidRPr="00D2741E">
        <w:rPr>
          <w:rFonts w:ascii="Times New Roman" w:hAnsi="Times New Roman" w:cs="Times New Roman"/>
          <w:sz w:val="24"/>
          <w:szCs w:val="24"/>
          <w:lang w:val="en-US"/>
        </w:rPr>
        <w:t>Sigurnosno operativnog centra (SOC) koji zahtijeva financijska ulaganja u nekoliko ključnih područja kako bi mogao efikasno garantirati sigurnost i zaštitu podataka te operativnu otpornost organizacije, potrebno je nabaviti poslužiteljsku infrastrukturu, koja osigurava stabilan rad svih sigurnosnih alata i sustava koji prate i analiziraju događaje u mreži.</w:t>
      </w:r>
    </w:p>
    <w:p w14:paraId="2944787B" w14:textId="084052E6" w:rsidR="00A02883" w:rsidRPr="00D2741E" w:rsidRDefault="00A02883" w:rsidP="00870EF5">
      <w:pPr>
        <w:pStyle w:val="ListParagraph"/>
        <w:jc w:val="both"/>
        <w:rPr>
          <w:rFonts w:ascii="Times New Roman" w:hAnsi="Times New Roman" w:cs="Times New Roman"/>
          <w:sz w:val="24"/>
          <w:szCs w:val="24"/>
        </w:rPr>
      </w:pPr>
    </w:p>
    <w:p w14:paraId="2622A637" w14:textId="77777777" w:rsidR="000077A4" w:rsidRPr="00D2741E" w:rsidRDefault="000077A4" w:rsidP="000077A4">
      <w:pPr>
        <w:jc w:val="both"/>
        <w:rPr>
          <w:rFonts w:ascii="Times New Roman" w:hAnsi="Times New Roman" w:cs="Times New Roman"/>
          <w:sz w:val="24"/>
          <w:szCs w:val="24"/>
        </w:rPr>
      </w:pPr>
    </w:p>
    <w:p w14:paraId="1036054A" w14:textId="1C26CC24" w:rsidR="00825C69" w:rsidRPr="00D2741E" w:rsidRDefault="00825C69" w:rsidP="00361EC1">
      <w:pPr>
        <w:pStyle w:val="ListParagraph"/>
        <w:numPr>
          <w:ilvl w:val="0"/>
          <w:numId w:val="1"/>
        </w:numPr>
        <w:jc w:val="both"/>
        <w:rPr>
          <w:rFonts w:ascii="Times New Roman" w:hAnsi="Times New Roman" w:cs="Times New Roman"/>
          <w:sz w:val="24"/>
          <w:szCs w:val="24"/>
        </w:rPr>
      </w:pPr>
      <w:r w:rsidRPr="00D2741E">
        <w:rPr>
          <w:rFonts w:ascii="Times New Roman" w:hAnsi="Times New Roman" w:cs="Times New Roman"/>
          <w:sz w:val="24"/>
          <w:szCs w:val="24"/>
        </w:rPr>
        <w:lastRenderedPageBreak/>
        <w:t>Planirani rashodi za ulaganja u računalne programe (IZVOR 11, AKT K</w:t>
      </w:r>
      <w:r w:rsidR="0060471E" w:rsidRPr="00D2741E">
        <w:rPr>
          <w:rFonts w:ascii="Times New Roman" w:hAnsi="Times New Roman" w:cs="Times New Roman"/>
          <w:sz w:val="24"/>
          <w:szCs w:val="24"/>
        </w:rPr>
        <w:t>406669</w:t>
      </w:r>
      <w:r w:rsidR="002D62CF" w:rsidRPr="00D2741E">
        <w:rPr>
          <w:rFonts w:ascii="Times New Roman" w:hAnsi="Times New Roman" w:cs="Times New Roman"/>
          <w:sz w:val="24"/>
          <w:szCs w:val="24"/>
        </w:rPr>
        <w:t>, 4262</w:t>
      </w:r>
      <w:r w:rsidRPr="00D2741E">
        <w:rPr>
          <w:rFonts w:ascii="Times New Roman" w:hAnsi="Times New Roman" w:cs="Times New Roman"/>
          <w:sz w:val="24"/>
          <w:szCs w:val="24"/>
        </w:rPr>
        <w:t xml:space="preserve">) u nominalnom iznosu </w:t>
      </w:r>
      <w:r w:rsidR="00093AE4">
        <w:rPr>
          <w:rFonts w:ascii="Times New Roman" w:hAnsi="Times New Roman" w:cs="Times New Roman"/>
          <w:sz w:val="24"/>
          <w:szCs w:val="24"/>
        </w:rPr>
        <w:t>1.8</w:t>
      </w:r>
      <w:r w:rsidR="00870EF5" w:rsidRPr="00D2741E">
        <w:rPr>
          <w:rFonts w:ascii="Times New Roman" w:hAnsi="Times New Roman" w:cs="Times New Roman"/>
          <w:sz w:val="24"/>
          <w:szCs w:val="24"/>
        </w:rPr>
        <w:t>27.550</w:t>
      </w:r>
      <w:r w:rsidRPr="00D2741E">
        <w:rPr>
          <w:rFonts w:ascii="Times New Roman" w:hAnsi="Times New Roman" w:cs="Times New Roman"/>
          <w:sz w:val="24"/>
          <w:szCs w:val="24"/>
        </w:rPr>
        <w:t xml:space="preserve">,00. Povećanje planiranih rashoda odnosi </w:t>
      </w:r>
      <w:r w:rsidR="00023EB1" w:rsidRPr="00D2741E">
        <w:rPr>
          <w:rFonts w:ascii="Times New Roman" w:hAnsi="Times New Roman" w:cs="Times New Roman"/>
          <w:sz w:val="24"/>
          <w:szCs w:val="24"/>
        </w:rPr>
        <w:t>se na  tehničku i funkcionalnu nadogradnju postojećeg CN Riznica sustava, kojom se prelazi na višu verziju Odoo platforme. Nadogradnja je potrebna zbog osiguravanja kontinuirane podrške proizvođača, usklađivanja s novim sigurnosnim zahtjevima i EU regulativama, optimizacije performansi i proširenja funkcionalnosti u skladu s poslovnim procesima korisnika. Aktivnost uključuje i migraciju podataka te određene prilagodbe aplikacije, u cilju očuvanja kontinuiteta poslovanja i informatičke sigurnosti, bez izmjene osnovne svrhe ili strukture sustava. Za potrebe Sigurnosno operativnog centra potrebno je osigurati sredstva za sustav za pohranu podataka na dvije lokacije s podrškom za četiri godine omogućava sigurnu pohranu i zaštitu ključnih informacija, osiguravajući nastavak poslovanja i brz oporavak u slučaju incidenata.</w:t>
      </w:r>
    </w:p>
    <w:p w14:paraId="4C6F5133" w14:textId="77777777" w:rsidR="00CB0278" w:rsidRPr="00D2741E" w:rsidRDefault="00CB0278" w:rsidP="00CB0278">
      <w:pPr>
        <w:pStyle w:val="ListParagraph"/>
        <w:jc w:val="both"/>
        <w:rPr>
          <w:rFonts w:ascii="Times New Roman" w:hAnsi="Times New Roman" w:cs="Times New Roman"/>
          <w:sz w:val="24"/>
          <w:szCs w:val="24"/>
        </w:rPr>
      </w:pPr>
    </w:p>
    <w:p w14:paraId="70629B40" w14:textId="77777777" w:rsidR="00CB0278" w:rsidRPr="00D2741E" w:rsidRDefault="00CB0278" w:rsidP="00CB0278">
      <w:pPr>
        <w:spacing w:line="240" w:lineRule="auto"/>
        <w:jc w:val="both"/>
        <w:rPr>
          <w:rFonts w:ascii="Times New Roman" w:hAnsi="Times New Roman" w:cs="Times New Roman"/>
          <w:sz w:val="24"/>
          <w:szCs w:val="24"/>
        </w:rPr>
      </w:pPr>
      <w:r w:rsidRPr="00D2741E">
        <w:rPr>
          <w:rFonts w:ascii="Times New Roman" w:hAnsi="Times New Roman" w:cs="Times New Roman"/>
          <w:sz w:val="24"/>
          <w:szCs w:val="24"/>
        </w:rPr>
        <w:t>Najznačajniji rashodi u 2026. u odnosu na 2025. dolazi na izvoru 51 iz kojeg se financiraju projekti „Uspostava Nacionalnog koordinacijskog središta za industriju, tehnologiju i istraživanja u području kibernetičke sigurnosti“ i „Hrvatska kvantna komunikacijska infrastruktura (CROQCI)“, a njihova struktura i obrazloženja su kako slijedi:</w:t>
      </w:r>
    </w:p>
    <w:p w14:paraId="11EAC6E9" w14:textId="77777777" w:rsidR="00CB0278" w:rsidRPr="00D2741E" w:rsidRDefault="00CB0278" w:rsidP="00CB0278">
      <w:pPr>
        <w:pStyle w:val="ListParagraph"/>
        <w:numPr>
          <w:ilvl w:val="0"/>
          <w:numId w:val="1"/>
        </w:numPr>
        <w:spacing w:line="240" w:lineRule="auto"/>
        <w:jc w:val="both"/>
        <w:rPr>
          <w:rFonts w:ascii="Times New Roman" w:hAnsi="Times New Roman" w:cs="Times New Roman"/>
          <w:sz w:val="24"/>
          <w:szCs w:val="24"/>
        </w:rPr>
      </w:pPr>
      <w:r w:rsidRPr="00D2741E">
        <w:rPr>
          <w:rFonts w:ascii="Times New Roman" w:hAnsi="Times New Roman" w:cs="Times New Roman"/>
          <w:sz w:val="24"/>
          <w:szCs w:val="24"/>
        </w:rPr>
        <w:t>Planirani rashodi za tekuće prijenose između proračunskih korisnika i tekuće donacije iz EU sredstava (IZVOR 51, AKT K628095 – 3693 i 3813) odnose se na transfere partnerima na projektu „Hrvatska kvantna komunikacijska infrastruktura (CROQCI)“. CroQCI konzorcij čine ključne istraživačke i znanstvene institucije, ustanove visokog obrazovanja, javne ustanove i javna poduzeća ovlaštena od strane Ministarstva znanosti i obrazovanja za razvoj nacionalne QCI mreže te pripremu i provedbu nacionalnog projekta Hrvatska kvantna komunikacijska infrastruktura – CroQCI.</w:t>
      </w:r>
    </w:p>
    <w:p w14:paraId="76DD9868" w14:textId="25248EDF" w:rsidR="00CB0278" w:rsidRPr="00D2741E" w:rsidRDefault="00CB0278" w:rsidP="00CB0278">
      <w:pPr>
        <w:pStyle w:val="ListParagraph"/>
        <w:numPr>
          <w:ilvl w:val="0"/>
          <w:numId w:val="1"/>
        </w:numPr>
        <w:spacing w:line="240" w:lineRule="auto"/>
        <w:jc w:val="both"/>
        <w:rPr>
          <w:rFonts w:ascii="Times New Roman" w:hAnsi="Times New Roman" w:cs="Times New Roman"/>
          <w:sz w:val="24"/>
          <w:szCs w:val="24"/>
        </w:rPr>
      </w:pPr>
      <w:r w:rsidRPr="00D2741E">
        <w:rPr>
          <w:rFonts w:ascii="Times New Roman" w:hAnsi="Times New Roman" w:cs="Times New Roman"/>
          <w:sz w:val="24"/>
          <w:szCs w:val="24"/>
        </w:rPr>
        <w:t>Planirani rashodi za intelektualne i osobne usluge (IZVOR 51, AKT K628101 – 3237) u nominalnom iznosu 239.500,00 EUR odnose se na projekt „Uspostava Nacionalnog koordinacijskog središta za industriju, tehnologiju i istraživanja u području kibernetičke sigurnosti“</w:t>
      </w:r>
      <w:r w:rsidR="00E93717" w:rsidRPr="00D2741E">
        <w:rPr>
          <w:rFonts w:ascii="Times New Roman" w:hAnsi="Times New Roman" w:cs="Times New Roman"/>
          <w:sz w:val="24"/>
          <w:szCs w:val="24"/>
        </w:rPr>
        <w:t>, točnije na nabavu usluge izrade edukativnih sadržaja te organizacija i izvođenje edukacija, te na nabavu organizacije događanja za moderatore/predavače</w:t>
      </w:r>
    </w:p>
    <w:p w14:paraId="2E2CBDBA" w14:textId="77777777" w:rsidR="00CB0278" w:rsidRPr="00D2741E" w:rsidRDefault="00CB0278" w:rsidP="00CB0278">
      <w:pPr>
        <w:pStyle w:val="ListParagraph"/>
        <w:numPr>
          <w:ilvl w:val="0"/>
          <w:numId w:val="1"/>
        </w:numPr>
        <w:spacing w:line="240" w:lineRule="auto"/>
        <w:jc w:val="both"/>
        <w:rPr>
          <w:rFonts w:ascii="Times New Roman" w:hAnsi="Times New Roman" w:cs="Times New Roman"/>
          <w:sz w:val="24"/>
          <w:szCs w:val="24"/>
        </w:rPr>
      </w:pPr>
      <w:r w:rsidRPr="00D2741E">
        <w:rPr>
          <w:rFonts w:ascii="Times New Roman" w:hAnsi="Times New Roman" w:cs="Times New Roman"/>
          <w:sz w:val="24"/>
          <w:szCs w:val="24"/>
        </w:rPr>
        <w:t>Planirani rashodi za tekuće donacije iz EU sredstava (IZVOR 51, AKT K628101 – 3813) u iznosu od 689.500,00 EUR odnose se na financiranje trećih strana – čime se mogućujuće hrvatskim tvrtkama, organizacijama i drugim ključnim dionicima podizanje razine kibernetičke zrelosti i otpornosti na kibernetičke prijetnje, uz poseban naglasak na usklađenost sa zakonodavnim zahtjevima i regulativama</w:t>
      </w:r>
    </w:p>
    <w:p w14:paraId="3CAFF179" w14:textId="77777777" w:rsidR="009E41F0" w:rsidRPr="00D2741E" w:rsidRDefault="009E41F0" w:rsidP="001E0AE3">
      <w:pPr>
        <w:jc w:val="both"/>
        <w:rPr>
          <w:rFonts w:ascii="Times New Roman" w:hAnsi="Times New Roman" w:cs="Times New Roman"/>
          <w:sz w:val="24"/>
          <w:szCs w:val="24"/>
        </w:rPr>
      </w:pPr>
    </w:p>
    <w:p w14:paraId="03A53725" w14:textId="4B30E7F8" w:rsidR="00694CE2" w:rsidRPr="00D2741E" w:rsidRDefault="00694CE2" w:rsidP="001E0AE3">
      <w:pPr>
        <w:spacing w:line="240" w:lineRule="auto"/>
        <w:jc w:val="both"/>
        <w:rPr>
          <w:rFonts w:ascii="Times New Roman" w:hAnsi="Times New Roman" w:cs="Times New Roman"/>
          <w:sz w:val="24"/>
          <w:szCs w:val="24"/>
        </w:rPr>
      </w:pPr>
      <w:r w:rsidRPr="00D2741E">
        <w:rPr>
          <w:rFonts w:ascii="Times New Roman" w:hAnsi="Times New Roman" w:cs="Times New Roman"/>
          <w:sz w:val="24"/>
          <w:szCs w:val="24"/>
        </w:rPr>
        <w:t>Do značajnih povećanja planiranih rashoda u 202</w:t>
      </w:r>
      <w:r w:rsidR="00665B2C" w:rsidRPr="00D2741E">
        <w:rPr>
          <w:rFonts w:ascii="Times New Roman" w:hAnsi="Times New Roman" w:cs="Times New Roman"/>
          <w:sz w:val="24"/>
          <w:szCs w:val="24"/>
        </w:rPr>
        <w:t>6</w:t>
      </w:r>
      <w:r w:rsidRPr="00D2741E">
        <w:rPr>
          <w:rFonts w:ascii="Times New Roman" w:hAnsi="Times New Roman" w:cs="Times New Roman"/>
          <w:sz w:val="24"/>
          <w:szCs w:val="24"/>
        </w:rPr>
        <w:t>.</w:t>
      </w:r>
      <w:r w:rsidR="00AB008F" w:rsidRPr="00D2741E">
        <w:rPr>
          <w:rFonts w:ascii="Times New Roman" w:hAnsi="Times New Roman" w:cs="Times New Roman"/>
          <w:sz w:val="24"/>
          <w:szCs w:val="24"/>
        </w:rPr>
        <w:t xml:space="preserve"> godini</w:t>
      </w:r>
      <w:r w:rsidRPr="00D2741E">
        <w:rPr>
          <w:rFonts w:ascii="Times New Roman" w:hAnsi="Times New Roman" w:cs="Times New Roman"/>
          <w:sz w:val="24"/>
          <w:szCs w:val="24"/>
        </w:rPr>
        <w:t xml:space="preserve"> u odnosu na 202</w:t>
      </w:r>
      <w:r w:rsidR="00665B2C" w:rsidRPr="00D2741E">
        <w:rPr>
          <w:rFonts w:ascii="Times New Roman" w:hAnsi="Times New Roman" w:cs="Times New Roman"/>
          <w:sz w:val="24"/>
          <w:szCs w:val="24"/>
        </w:rPr>
        <w:t>5</w:t>
      </w:r>
      <w:r w:rsidRPr="00D2741E">
        <w:rPr>
          <w:rFonts w:ascii="Times New Roman" w:hAnsi="Times New Roman" w:cs="Times New Roman"/>
          <w:sz w:val="24"/>
          <w:szCs w:val="24"/>
        </w:rPr>
        <w:t>.</w:t>
      </w:r>
      <w:r w:rsidR="00AB008F" w:rsidRPr="00D2741E">
        <w:rPr>
          <w:rFonts w:ascii="Times New Roman" w:hAnsi="Times New Roman" w:cs="Times New Roman"/>
          <w:sz w:val="24"/>
          <w:szCs w:val="24"/>
        </w:rPr>
        <w:t xml:space="preserve"> godinu</w:t>
      </w:r>
      <w:r w:rsidRPr="00D2741E">
        <w:rPr>
          <w:rFonts w:ascii="Times New Roman" w:hAnsi="Times New Roman" w:cs="Times New Roman"/>
          <w:sz w:val="24"/>
          <w:szCs w:val="24"/>
        </w:rPr>
        <w:t xml:space="preserve"> dolazi na izvoru 561 iz kojeg se financiraju projekti „Unaprjeđenje primjene digitalne tehnologije u obrazovnom sustavu (BrAln)“ i „Cjelovita informatizacija sustava odgoja i obrazovanja (CISOO)“, a njihova struktura i obrazloženja su kako slijedi:</w:t>
      </w:r>
    </w:p>
    <w:p w14:paraId="40253FFA" w14:textId="77777777" w:rsidR="00694CE2" w:rsidRPr="00D2741E" w:rsidRDefault="00694CE2" w:rsidP="001E0AE3">
      <w:pPr>
        <w:pStyle w:val="ListParagraph"/>
        <w:spacing w:line="240" w:lineRule="auto"/>
        <w:jc w:val="both"/>
        <w:rPr>
          <w:rFonts w:ascii="Times New Roman" w:hAnsi="Times New Roman" w:cs="Times New Roman"/>
          <w:sz w:val="24"/>
          <w:szCs w:val="24"/>
        </w:rPr>
      </w:pPr>
    </w:p>
    <w:p w14:paraId="5CBB7E45" w14:textId="38CACB72" w:rsidR="00CF4408" w:rsidRDefault="00694CE2" w:rsidP="00260871">
      <w:pPr>
        <w:pStyle w:val="ListParagraph"/>
        <w:numPr>
          <w:ilvl w:val="0"/>
          <w:numId w:val="1"/>
        </w:numPr>
        <w:spacing w:line="240" w:lineRule="auto"/>
        <w:jc w:val="both"/>
        <w:rPr>
          <w:rFonts w:ascii="Times New Roman" w:hAnsi="Times New Roman" w:cs="Times New Roman"/>
          <w:sz w:val="24"/>
          <w:szCs w:val="24"/>
        </w:rPr>
      </w:pPr>
      <w:r w:rsidRPr="00D2741E">
        <w:rPr>
          <w:rFonts w:ascii="Times New Roman" w:hAnsi="Times New Roman" w:cs="Times New Roman"/>
          <w:sz w:val="24"/>
          <w:szCs w:val="24"/>
        </w:rPr>
        <w:t>Planirani rashodi za intelektualne i računalne usluge (IZVOR 5</w:t>
      </w:r>
      <w:r w:rsidR="006B7092" w:rsidRPr="00D2741E">
        <w:rPr>
          <w:rFonts w:ascii="Times New Roman" w:hAnsi="Times New Roman" w:cs="Times New Roman"/>
          <w:sz w:val="24"/>
          <w:szCs w:val="24"/>
        </w:rPr>
        <w:t>6</w:t>
      </w:r>
      <w:r w:rsidRPr="00D2741E">
        <w:rPr>
          <w:rFonts w:ascii="Times New Roman" w:hAnsi="Times New Roman" w:cs="Times New Roman"/>
          <w:sz w:val="24"/>
          <w:szCs w:val="24"/>
        </w:rPr>
        <w:t>1, AKT K628</w:t>
      </w:r>
      <w:r w:rsidR="006B7092" w:rsidRPr="00D2741E">
        <w:rPr>
          <w:rFonts w:ascii="Times New Roman" w:hAnsi="Times New Roman" w:cs="Times New Roman"/>
          <w:sz w:val="24"/>
          <w:szCs w:val="24"/>
        </w:rPr>
        <w:t>100</w:t>
      </w:r>
      <w:r w:rsidRPr="00D2741E">
        <w:rPr>
          <w:rFonts w:ascii="Times New Roman" w:hAnsi="Times New Roman" w:cs="Times New Roman"/>
          <w:sz w:val="24"/>
          <w:szCs w:val="24"/>
        </w:rPr>
        <w:t xml:space="preserve"> – 3237) u nominaln</w:t>
      </w:r>
      <w:r w:rsidR="00665B2C" w:rsidRPr="00D2741E">
        <w:rPr>
          <w:rFonts w:ascii="Times New Roman" w:hAnsi="Times New Roman" w:cs="Times New Roman"/>
          <w:sz w:val="24"/>
          <w:szCs w:val="24"/>
        </w:rPr>
        <w:t>o</w:t>
      </w:r>
      <w:r w:rsidRPr="00D2741E">
        <w:rPr>
          <w:rFonts w:ascii="Times New Roman" w:hAnsi="Times New Roman" w:cs="Times New Roman"/>
          <w:sz w:val="24"/>
          <w:szCs w:val="24"/>
        </w:rPr>
        <w:t>m iznos</w:t>
      </w:r>
      <w:r w:rsidR="00665B2C" w:rsidRPr="00D2741E">
        <w:rPr>
          <w:rFonts w:ascii="Times New Roman" w:hAnsi="Times New Roman" w:cs="Times New Roman"/>
          <w:sz w:val="24"/>
          <w:szCs w:val="24"/>
        </w:rPr>
        <w:t>u</w:t>
      </w:r>
      <w:r w:rsidRPr="00D2741E">
        <w:rPr>
          <w:rFonts w:ascii="Times New Roman" w:hAnsi="Times New Roman" w:cs="Times New Roman"/>
          <w:sz w:val="24"/>
          <w:szCs w:val="24"/>
        </w:rPr>
        <w:t xml:space="preserve">  </w:t>
      </w:r>
      <w:r w:rsidR="00093AE4">
        <w:rPr>
          <w:rFonts w:ascii="Times New Roman" w:hAnsi="Times New Roman" w:cs="Times New Roman"/>
          <w:sz w:val="24"/>
          <w:szCs w:val="24"/>
        </w:rPr>
        <w:t>375.140</w:t>
      </w:r>
      <w:r w:rsidRPr="00D2741E">
        <w:rPr>
          <w:rFonts w:ascii="Times New Roman" w:hAnsi="Times New Roman" w:cs="Times New Roman"/>
          <w:sz w:val="24"/>
          <w:szCs w:val="24"/>
        </w:rPr>
        <w:t>,00 EUR. Planirani rashod</w:t>
      </w:r>
      <w:r w:rsidR="00665B2C" w:rsidRPr="00D2741E">
        <w:rPr>
          <w:rFonts w:ascii="Times New Roman" w:hAnsi="Times New Roman" w:cs="Times New Roman"/>
          <w:sz w:val="24"/>
          <w:szCs w:val="24"/>
        </w:rPr>
        <w:t>i</w:t>
      </w:r>
      <w:r w:rsidRPr="00D2741E">
        <w:rPr>
          <w:rFonts w:ascii="Times New Roman" w:hAnsi="Times New Roman" w:cs="Times New Roman"/>
          <w:sz w:val="24"/>
          <w:szCs w:val="24"/>
        </w:rPr>
        <w:t xml:space="preserve"> se odnos</w:t>
      </w:r>
      <w:r w:rsidR="00665B2C" w:rsidRPr="00D2741E">
        <w:rPr>
          <w:rFonts w:ascii="Times New Roman" w:hAnsi="Times New Roman" w:cs="Times New Roman"/>
          <w:sz w:val="24"/>
          <w:szCs w:val="24"/>
        </w:rPr>
        <w:t>e</w:t>
      </w:r>
      <w:r w:rsidRPr="00D2741E">
        <w:rPr>
          <w:rFonts w:ascii="Times New Roman" w:hAnsi="Times New Roman" w:cs="Times New Roman"/>
          <w:sz w:val="24"/>
          <w:szCs w:val="24"/>
        </w:rPr>
        <w:t xml:space="preserve"> na</w:t>
      </w:r>
      <w:r w:rsidR="00AB008F" w:rsidRPr="00D2741E">
        <w:rPr>
          <w:rFonts w:ascii="Times New Roman" w:hAnsi="Times New Roman" w:cs="Times New Roman"/>
          <w:sz w:val="24"/>
          <w:szCs w:val="24"/>
        </w:rPr>
        <w:t xml:space="preserve"> aktivnosti vezanih za provedbu projekta</w:t>
      </w:r>
      <w:r w:rsidR="00665B2C" w:rsidRPr="00D2741E">
        <w:rPr>
          <w:rFonts w:ascii="Times New Roman" w:hAnsi="Times New Roman" w:cs="Times New Roman"/>
          <w:sz w:val="24"/>
          <w:szCs w:val="24"/>
        </w:rPr>
        <w:t xml:space="preserve"> </w:t>
      </w:r>
      <w:r w:rsidRPr="00D2741E">
        <w:rPr>
          <w:rFonts w:ascii="Times New Roman" w:hAnsi="Times New Roman" w:cs="Times New Roman"/>
          <w:sz w:val="24"/>
          <w:szCs w:val="24"/>
        </w:rPr>
        <w:t xml:space="preserve">„Unaprjeđenje primjene digitalne tehnologije u obrazovnom sustavu (BrAln)“ </w:t>
      </w:r>
      <w:r w:rsidR="00665B2C" w:rsidRPr="00D2741E">
        <w:rPr>
          <w:rFonts w:ascii="Times New Roman" w:hAnsi="Times New Roman" w:cs="Times New Roman"/>
          <w:sz w:val="24"/>
          <w:szCs w:val="24"/>
        </w:rPr>
        <w:t>za nabavu usluge za personalizirano i adaptivno učenje</w:t>
      </w:r>
      <w:r w:rsidR="009509C0" w:rsidRPr="00D2741E">
        <w:rPr>
          <w:rFonts w:ascii="Times New Roman" w:hAnsi="Times New Roman" w:cs="Times New Roman"/>
          <w:sz w:val="24"/>
          <w:szCs w:val="24"/>
        </w:rPr>
        <w:t xml:space="preserve">. Nadalje, sredstva su potrebna za aktivnost za izradu i provedbu Programa obrazovanja korisnika koja je povezana s eksperimentalnom primjenom kurikula i podrškom </w:t>
      </w:r>
      <w:r w:rsidR="009509C0" w:rsidRPr="00D2741E">
        <w:rPr>
          <w:rFonts w:ascii="Times New Roman" w:hAnsi="Times New Roman" w:cs="Times New Roman"/>
          <w:sz w:val="24"/>
          <w:szCs w:val="24"/>
        </w:rPr>
        <w:lastRenderedPageBreak/>
        <w:t>korisnicima odnosno edukacije učitelja i nastavnika za primjenu kurikula. Edukacije se oslanjaju na kurikule te obuhvaćaju teme ključne za provedbu razvijenih kurikula. Usmjerene su na razvoj stručnih znanja, vještina i stavova o temama kurikula i pružaju ideje za provedbu nastavnih aktivnosti kojima se ostvaruju ishodi učenja ovih kurikula.</w:t>
      </w:r>
    </w:p>
    <w:p w14:paraId="322AFBB0" w14:textId="77777777" w:rsidR="00D2741E" w:rsidRPr="00D2741E" w:rsidRDefault="00D2741E" w:rsidP="00D2741E">
      <w:pPr>
        <w:pStyle w:val="ListParagraph"/>
        <w:spacing w:line="240" w:lineRule="auto"/>
        <w:jc w:val="both"/>
        <w:rPr>
          <w:rFonts w:ascii="Times New Roman" w:hAnsi="Times New Roman" w:cs="Times New Roman"/>
          <w:sz w:val="24"/>
          <w:szCs w:val="24"/>
        </w:rPr>
      </w:pPr>
    </w:p>
    <w:p w14:paraId="150F34E4" w14:textId="6CA564A8" w:rsidR="00CF4408" w:rsidRPr="00D2741E" w:rsidRDefault="00CF4408" w:rsidP="00CF4408">
      <w:pPr>
        <w:pStyle w:val="ListParagraph"/>
        <w:numPr>
          <w:ilvl w:val="0"/>
          <w:numId w:val="1"/>
        </w:numPr>
        <w:spacing w:line="240" w:lineRule="auto"/>
        <w:jc w:val="both"/>
        <w:rPr>
          <w:rFonts w:ascii="Times New Roman" w:hAnsi="Times New Roman" w:cs="Times New Roman"/>
          <w:sz w:val="24"/>
          <w:szCs w:val="24"/>
        </w:rPr>
      </w:pPr>
      <w:r w:rsidRPr="00D2741E">
        <w:rPr>
          <w:rFonts w:ascii="Times New Roman" w:hAnsi="Times New Roman" w:cs="Times New Roman"/>
          <w:sz w:val="24"/>
          <w:szCs w:val="24"/>
        </w:rPr>
        <w:t xml:space="preserve">Planirani rashodi za intelektualne i računalne usluge (IZVOR 561, AKT K628100 – 3238) u nominalnom iznosu  </w:t>
      </w:r>
      <w:r w:rsidR="00093AE4">
        <w:rPr>
          <w:rFonts w:ascii="Times New Roman" w:hAnsi="Times New Roman" w:cs="Times New Roman"/>
          <w:sz w:val="24"/>
          <w:szCs w:val="24"/>
        </w:rPr>
        <w:t>265.470</w:t>
      </w:r>
      <w:r w:rsidRPr="00D2741E">
        <w:rPr>
          <w:rFonts w:ascii="Times New Roman" w:hAnsi="Times New Roman" w:cs="Times New Roman"/>
          <w:sz w:val="24"/>
          <w:szCs w:val="24"/>
        </w:rPr>
        <w:t>,00 EUR. Planirani rashod odnose se aktivnosti vezeinh za provedbu projekata „Unaprjeđenje primjene digitalne tehnologije u obrazovnom sustavu (BrAln)“ i „Cjelovita informatizacija sustava odgoja i obrazovanja (CISOO)“.</w:t>
      </w:r>
    </w:p>
    <w:p w14:paraId="52B8E541" w14:textId="072DFD94" w:rsidR="006B7092" w:rsidRPr="00D2741E" w:rsidRDefault="00CF4408" w:rsidP="00CF4408">
      <w:pPr>
        <w:pStyle w:val="ListParagraph"/>
        <w:spacing w:line="240" w:lineRule="auto"/>
        <w:jc w:val="both"/>
        <w:rPr>
          <w:rFonts w:ascii="Times New Roman" w:hAnsi="Times New Roman" w:cs="Times New Roman"/>
          <w:sz w:val="24"/>
          <w:szCs w:val="24"/>
        </w:rPr>
      </w:pPr>
      <w:r w:rsidRPr="00D2741E">
        <w:rPr>
          <w:rFonts w:ascii="Times New Roman" w:hAnsi="Times New Roman" w:cs="Times New Roman"/>
          <w:sz w:val="24"/>
          <w:szCs w:val="24"/>
        </w:rPr>
        <w:t>U sklopu projekta BrAIn sredstva je potrebno osigurati za</w:t>
      </w:r>
      <w:r w:rsidR="00665B2C" w:rsidRPr="00D2741E">
        <w:rPr>
          <w:rFonts w:ascii="Times New Roman" w:hAnsi="Times New Roman" w:cs="Times New Roman"/>
          <w:sz w:val="24"/>
          <w:szCs w:val="24"/>
        </w:rPr>
        <w:t xml:space="preserve"> održavanje sustava komunikacijska i integracijska platforma, </w:t>
      </w:r>
      <w:r w:rsidRPr="00D2741E">
        <w:rPr>
          <w:rFonts w:ascii="Times New Roman" w:hAnsi="Times New Roman" w:cs="Times New Roman"/>
          <w:sz w:val="24"/>
          <w:szCs w:val="24"/>
        </w:rPr>
        <w:t>z</w:t>
      </w:r>
      <w:r w:rsidR="00665B2C" w:rsidRPr="00D2741E">
        <w:rPr>
          <w:rFonts w:ascii="Times New Roman" w:hAnsi="Times New Roman" w:cs="Times New Roman"/>
          <w:sz w:val="24"/>
          <w:szCs w:val="24"/>
        </w:rPr>
        <w:t>a odr</w:t>
      </w:r>
      <w:r w:rsidR="009509C0" w:rsidRPr="00D2741E">
        <w:rPr>
          <w:rFonts w:ascii="Times New Roman" w:hAnsi="Times New Roman" w:cs="Times New Roman"/>
          <w:sz w:val="24"/>
          <w:szCs w:val="24"/>
        </w:rPr>
        <w:t>žavanje sustava CARNET privatnost, portal koji korisnicima omogućava rad s GDPR privolama unutar školskog sustava i kreiranje komunikacijskih grupa između zaposlenika škola, roditelja i učenika, a namijenjen je djelatnicima škola</w:t>
      </w:r>
      <w:r w:rsidRPr="00D2741E">
        <w:rPr>
          <w:rFonts w:ascii="Times New Roman" w:hAnsi="Times New Roman" w:cs="Times New Roman"/>
          <w:sz w:val="24"/>
          <w:szCs w:val="24"/>
        </w:rPr>
        <w:t>, te za održavanje sustava za razvoj pametnih preporuka.</w:t>
      </w:r>
    </w:p>
    <w:p w14:paraId="6481E6B8" w14:textId="38FFF83B" w:rsidR="00665B2C" w:rsidRPr="00D2741E" w:rsidRDefault="00CF4408" w:rsidP="000C5951">
      <w:pPr>
        <w:pStyle w:val="ListParagraph"/>
        <w:spacing w:line="240" w:lineRule="auto"/>
        <w:jc w:val="both"/>
        <w:rPr>
          <w:rFonts w:ascii="Times New Roman" w:hAnsi="Times New Roman" w:cs="Times New Roman"/>
          <w:sz w:val="24"/>
          <w:szCs w:val="24"/>
        </w:rPr>
      </w:pPr>
      <w:r w:rsidRPr="00D2741E">
        <w:rPr>
          <w:rFonts w:ascii="Times New Roman" w:hAnsi="Times New Roman" w:cs="Times New Roman"/>
          <w:sz w:val="24"/>
          <w:szCs w:val="24"/>
        </w:rPr>
        <w:t xml:space="preserve">U sklopu projekta CISOO sredstva potrebna na ovoj stavci odnose se na održavanje sustava cjelovitog programskog rješenja - faza 1 i 2, te na </w:t>
      </w:r>
      <w:r w:rsidR="000C5951" w:rsidRPr="00D2741E">
        <w:rPr>
          <w:rFonts w:ascii="Times New Roman" w:hAnsi="Times New Roman" w:cs="Times New Roman"/>
          <w:sz w:val="24"/>
          <w:szCs w:val="24"/>
        </w:rPr>
        <w:t>održavanje sustava cjelovitog programskog rješenja - faza 1 i 3</w:t>
      </w:r>
    </w:p>
    <w:p w14:paraId="09A45989" w14:textId="77777777" w:rsidR="006B7092" w:rsidRPr="00D2741E" w:rsidRDefault="006B7092" w:rsidP="001E0AE3">
      <w:pPr>
        <w:pStyle w:val="ListParagraph"/>
        <w:jc w:val="both"/>
        <w:rPr>
          <w:rFonts w:ascii="Times New Roman" w:hAnsi="Times New Roman" w:cs="Times New Roman"/>
          <w:sz w:val="24"/>
          <w:szCs w:val="24"/>
        </w:rPr>
      </w:pPr>
    </w:p>
    <w:p w14:paraId="1FE3A704" w14:textId="24740511" w:rsidR="000C5951" w:rsidRPr="00D2741E" w:rsidRDefault="000C5951" w:rsidP="001E0AE3">
      <w:pPr>
        <w:pStyle w:val="ListParagraph"/>
        <w:numPr>
          <w:ilvl w:val="0"/>
          <w:numId w:val="1"/>
        </w:numPr>
        <w:spacing w:line="240" w:lineRule="auto"/>
        <w:jc w:val="both"/>
        <w:rPr>
          <w:rFonts w:ascii="Times New Roman" w:hAnsi="Times New Roman" w:cs="Times New Roman"/>
          <w:sz w:val="24"/>
          <w:szCs w:val="24"/>
        </w:rPr>
      </w:pPr>
      <w:r w:rsidRPr="00D2741E">
        <w:rPr>
          <w:rFonts w:ascii="Times New Roman" w:hAnsi="Times New Roman" w:cs="Times New Roman"/>
          <w:sz w:val="24"/>
          <w:szCs w:val="24"/>
        </w:rPr>
        <w:t>Planirani rashodi za tekuće donacije iz EU sredstava (IZVOR 561, AKT K628100 – 3813) iznose 216.490,00 EUR. Rashodi se odnose na transfere partnerima u sklopu projekta „Unaprjeđenje primjene digitalne tehnologije u obrazovnom sustavu (BrAln)“. Partneri na projektu kojima se novci iz ove stavke transferiraju su Hrvatsko katoličko sveučilište i Hrvatska udruga za umjetnu inteligenciju (CroAI)</w:t>
      </w:r>
    </w:p>
    <w:p w14:paraId="45910D4E" w14:textId="77777777" w:rsidR="000C5951" w:rsidRPr="00D2741E" w:rsidRDefault="000C5951" w:rsidP="000C5951">
      <w:pPr>
        <w:pStyle w:val="ListParagraph"/>
        <w:spacing w:line="240" w:lineRule="auto"/>
        <w:jc w:val="both"/>
        <w:rPr>
          <w:rFonts w:ascii="Times New Roman" w:hAnsi="Times New Roman" w:cs="Times New Roman"/>
          <w:sz w:val="24"/>
          <w:szCs w:val="24"/>
        </w:rPr>
      </w:pPr>
    </w:p>
    <w:p w14:paraId="7F0471E1" w14:textId="2374D909" w:rsidR="000C5951" w:rsidRPr="00D2741E" w:rsidRDefault="000C5951" w:rsidP="001E0AE3">
      <w:pPr>
        <w:pStyle w:val="ListParagraph"/>
        <w:numPr>
          <w:ilvl w:val="0"/>
          <w:numId w:val="1"/>
        </w:numPr>
        <w:spacing w:line="240" w:lineRule="auto"/>
        <w:jc w:val="both"/>
        <w:rPr>
          <w:rFonts w:ascii="Times New Roman" w:hAnsi="Times New Roman" w:cs="Times New Roman"/>
          <w:sz w:val="24"/>
          <w:szCs w:val="24"/>
        </w:rPr>
      </w:pPr>
      <w:r w:rsidRPr="00D2741E">
        <w:rPr>
          <w:rFonts w:ascii="Times New Roman" w:hAnsi="Times New Roman" w:cs="Times New Roman"/>
          <w:sz w:val="24"/>
          <w:szCs w:val="24"/>
        </w:rPr>
        <w:t>Planirani rashodi za uredska oprema i namještaj (IZVOR 561, AKT K628100 – 42</w:t>
      </w:r>
      <w:r w:rsidR="00036723" w:rsidRPr="00D2741E">
        <w:rPr>
          <w:rFonts w:ascii="Times New Roman" w:hAnsi="Times New Roman" w:cs="Times New Roman"/>
          <w:sz w:val="24"/>
          <w:szCs w:val="24"/>
        </w:rPr>
        <w:t>21</w:t>
      </w:r>
      <w:r w:rsidRPr="00D2741E">
        <w:rPr>
          <w:rFonts w:ascii="Times New Roman" w:hAnsi="Times New Roman" w:cs="Times New Roman"/>
          <w:sz w:val="24"/>
          <w:szCs w:val="24"/>
        </w:rPr>
        <w:t xml:space="preserve">) iznose </w:t>
      </w:r>
      <w:r w:rsidR="00093AE4">
        <w:rPr>
          <w:rFonts w:ascii="Times New Roman" w:hAnsi="Times New Roman" w:cs="Times New Roman"/>
          <w:sz w:val="24"/>
          <w:szCs w:val="24"/>
        </w:rPr>
        <w:t>3</w:t>
      </w:r>
      <w:r w:rsidRPr="00D2741E">
        <w:rPr>
          <w:rFonts w:ascii="Times New Roman" w:hAnsi="Times New Roman" w:cs="Times New Roman"/>
          <w:sz w:val="24"/>
          <w:szCs w:val="24"/>
        </w:rPr>
        <w:t>60.880,00 EUR. Kako bi sustav pametnih preporuka</w:t>
      </w:r>
      <w:r w:rsidR="00036723" w:rsidRPr="00D2741E">
        <w:rPr>
          <w:rFonts w:ascii="Times New Roman" w:hAnsi="Times New Roman" w:cs="Times New Roman"/>
          <w:sz w:val="24"/>
          <w:szCs w:val="24"/>
        </w:rPr>
        <w:t xml:space="preserve"> koje se razviju u okviru projekta „Unaprjeđenje primjene digitalne tehnologije u obrazovnom sustavu (BrAln)“</w:t>
      </w:r>
      <w:r w:rsidRPr="00D2741E">
        <w:rPr>
          <w:rFonts w:ascii="Times New Roman" w:hAnsi="Times New Roman" w:cs="Times New Roman"/>
          <w:sz w:val="24"/>
          <w:szCs w:val="24"/>
        </w:rPr>
        <w:t xml:space="preserve"> ispunio krajnju svrhu, nužno je osigurati odgovarajuću infrastrukturu u CARNET-ovim podatkovnim centrima koja će služiti za smještaj aplikacija, pohranu velikih količina podataka te ostalih vezanih servisa u projektu.</w:t>
      </w:r>
      <w:r w:rsidR="00036723" w:rsidRPr="00D2741E">
        <w:rPr>
          <w:rFonts w:ascii="Times New Roman" w:hAnsi="Times New Roman" w:cs="Times New Roman"/>
          <w:sz w:val="24"/>
          <w:szCs w:val="24"/>
        </w:rPr>
        <w:t xml:space="preserve"> U sklopu okvira „Cjelovita informatizacija sustava odgoja i obrazovanja (CISOO)“ na ovoj stavci sredstva su potrebna za nabavu infrastrukture za skladištenje servisa i podataka, a obuhvaća opremanje i nadogradnju CARNET-ovih podatkovnih centara opremom koja će služiti za smještaj aplikacija i baza podataka te ostalih potrebnih servisa informacijskog sustava. </w:t>
      </w:r>
    </w:p>
    <w:p w14:paraId="567F6768" w14:textId="77777777" w:rsidR="0009463D" w:rsidRDefault="0009463D" w:rsidP="00093AE4">
      <w:pPr>
        <w:spacing w:line="240" w:lineRule="auto"/>
        <w:jc w:val="both"/>
        <w:rPr>
          <w:rFonts w:ascii="Times New Roman" w:hAnsi="Times New Roman" w:cs="Times New Roman"/>
          <w:sz w:val="24"/>
          <w:szCs w:val="24"/>
        </w:rPr>
      </w:pPr>
    </w:p>
    <w:p w14:paraId="7299EDEE" w14:textId="77777777" w:rsidR="00093AE4" w:rsidRPr="00093AE4" w:rsidRDefault="00093AE4" w:rsidP="00093AE4">
      <w:pPr>
        <w:spacing w:line="240" w:lineRule="auto"/>
        <w:jc w:val="both"/>
        <w:rPr>
          <w:rFonts w:ascii="Times New Roman" w:hAnsi="Times New Roman" w:cs="Times New Roman"/>
          <w:sz w:val="24"/>
          <w:szCs w:val="24"/>
        </w:rPr>
      </w:pPr>
    </w:p>
    <w:p w14:paraId="18CE083A" w14:textId="1AEA601E" w:rsidR="004A6E13" w:rsidRPr="00D2741E" w:rsidRDefault="004A6E13" w:rsidP="001E0AE3">
      <w:pPr>
        <w:spacing w:line="240" w:lineRule="auto"/>
        <w:jc w:val="both"/>
        <w:rPr>
          <w:rFonts w:ascii="Times New Roman" w:hAnsi="Times New Roman" w:cs="Times New Roman"/>
          <w:sz w:val="24"/>
          <w:szCs w:val="24"/>
        </w:rPr>
      </w:pPr>
      <w:r w:rsidRPr="00D2741E">
        <w:rPr>
          <w:rFonts w:ascii="Times New Roman" w:hAnsi="Times New Roman" w:cs="Times New Roman"/>
          <w:sz w:val="24"/>
          <w:szCs w:val="24"/>
        </w:rPr>
        <w:t>Do značajnih povećanja planiranih rashoda u 202</w:t>
      </w:r>
      <w:r w:rsidR="0009463D" w:rsidRPr="00D2741E">
        <w:rPr>
          <w:rFonts w:ascii="Times New Roman" w:hAnsi="Times New Roman" w:cs="Times New Roman"/>
          <w:sz w:val="24"/>
          <w:szCs w:val="24"/>
        </w:rPr>
        <w:t>6</w:t>
      </w:r>
      <w:r w:rsidRPr="00D2741E">
        <w:rPr>
          <w:rFonts w:ascii="Times New Roman" w:hAnsi="Times New Roman" w:cs="Times New Roman"/>
          <w:sz w:val="24"/>
          <w:szCs w:val="24"/>
        </w:rPr>
        <w:t>. u odnosu na 202</w:t>
      </w:r>
      <w:r w:rsidR="0009463D" w:rsidRPr="00D2741E">
        <w:rPr>
          <w:rFonts w:ascii="Times New Roman" w:hAnsi="Times New Roman" w:cs="Times New Roman"/>
          <w:sz w:val="24"/>
          <w:szCs w:val="24"/>
        </w:rPr>
        <w:t>5</w:t>
      </w:r>
      <w:r w:rsidRPr="00D2741E">
        <w:rPr>
          <w:rFonts w:ascii="Times New Roman" w:hAnsi="Times New Roman" w:cs="Times New Roman"/>
          <w:sz w:val="24"/>
          <w:szCs w:val="24"/>
        </w:rPr>
        <w:t>. dolazi na izvoru 581 iz kojeg se financiraju projekti „Digitalna preobrazba visokog obrazovanja e-sveučilišta“ i „Hrvatska kvantna komunikacijska infrastruktura (CROQCI)“</w:t>
      </w:r>
      <w:r w:rsidR="005813A9" w:rsidRPr="00D2741E">
        <w:rPr>
          <w:rFonts w:ascii="Times New Roman" w:hAnsi="Times New Roman" w:cs="Times New Roman"/>
          <w:sz w:val="24"/>
          <w:szCs w:val="24"/>
        </w:rPr>
        <w:t>, a njihova struktura i obrazloženja su kako slijedi:</w:t>
      </w:r>
    </w:p>
    <w:p w14:paraId="7631D130" w14:textId="77777777" w:rsidR="005813A9" w:rsidRPr="00D2741E" w:rsidRDefault="005813A9" w:rsidP="00877D6F">
      <w:pPr>
        <w:spacing w:line="240" w:lineRule="auto"/>
        <w:jc w:val="both"/>
        <w:rPr>
          <w:rFonts w:ascii="Times New Roman" w:hAnsi="Times New Roman" w:cs="Times New Roman"/>
          <w:sz w:val="24"/>
          <w:szCs w:val="24"/>
        </w:rPr>
      </w:pPr>
    </w:p>
    <w:p w14:paraId="6539476F" w14:textId="03549129" w:rsidR="00211F04" w:rsidRPr="00D2741E" w:rsidRDefault="00211F04" w:rsidP="001E0AE3">
      <w:pPr>
        <w:pStyle w:val="ListParagraph"/>
        <w:numPr>
          <w:ilvl w:val="0"/>
          <w:numId w:val="1"/>
        </w:numPr>
        <w:spacing w:line="240" w:lineRule="auto"/>
        <w:jc w:val="both"/>
        <w:rPr>
          <w:rFonts w:ascii="Times New Roman" w:hAnsi="Times New Roman" w:cs="Times New Roman"/>
          <w:sz w:val="24"/>
          <w:szCs w:val="24"/>
        </w:rPr>
      </w:pPr>
      <w:r w:rsidRPr="00D2741E">
        <w:rPr>
          <w:rFonts w:ascii="Times New Roman" w:hAnsi="Times New Roman" w:cs="Times New Roman"/>
          <w:sz w:val="24"/>
          <w:szCs w:val="24"/>
        </w:rPr>
        <w:t xml:space="preserve">Planirani rashodi za </w:t>
      </w:r>
      <w:r w:rsidR="00E70DC0" w:rsidRPr="00D2741E">
        <w:rPr>
          <w:rFonts w:ascii="Times New Roman" w:hAnsi="Times New Roman" w:cs="Times New Roman"/>
          <w:sz w:val="24"/>
          <w:szCs w:val="24"/>
        </w:rPr>
        <w:t>usluge tekućeg i investicijskog održavanja</w:t>
      </w:r>
      <w:r w:rsidRPr="00D2741E">
        <w:rPr>
          <w:rFonts w:ascii="Times New Roman" w:hAnsi="Times New Roman" w:cs="Times New Roman"/>
          <w:sz w:val="24"/>
          <w:szCs w:val="24"/>
        </w:rPr>
        <w:t xml:space="preserve"> (IZVOR 581, AKT K628093 – 3</w:t>
      </w:r>
      <w:r w:rsidR="00E70DC0" w:rsidRPr="00D2741E">
        <w:rPr>
          <w:rFonts w:ascii="Times New Roman" w:hAnsi="Times New Roman" w:cs="Times New Roman"/>
          <w:sz w:val="24"/>
          <w:szCs w:val="24"/>
        </w:rPr>
        <w:t>232</w:t>
      </w:r>
      <w:r w:rsidRPr="00D2741E">
        <w:rPr>
          <w:rFonts w:ascii="Times New Roman" w:hAnsi="Times New Roman" w:cs="Times New Roman"/>
          <w:sz w:val="24"/>
          <w:szCs w:val="24"/>
        </w:rPr>
        <w:t xml:space="preserve">) u nominalnom iznosu </w:t>
      </w:r>
      <w:r w:rsidR="00877D6F" w:rsidRPr="00D2741E">
        <w:rPr>
          <w:rFonts w:ascii="Times New Roman" w:hAnsi="Times New Roman" w:cs="Times New Roman"/>
          <w:sz w:val="24"/>
          <w:szCs w:val="24"/>
        </w:rPr>
        <w:t>4.157.877</w:t>
      </w:r>
      <w:r w:rsidR="004A6E13" w:rsidRPr="00D2741E">
        <w:rPr>
          <w:rFonts w:ascii="Times New Roman" w:hAnsi="Times New Roman" w:cs="Times New Roman"/>
          <w:sz w:val="24"/>
          <w:szCs w:val="24"/>
        </w:rPr>
        <w:t xml:space="preserve">,00 </w:t>
      </w:r>
      <w:r w:rsidR="00195123" w:rsidRPr="00D2741E">
        <w:rPr>
          <w:rFonts w:ascii="Times New Roman" w:hAnsi="Times New Roman" w:cs="Times New Roman"/>
          <w:sz w:val="24"/>
          <w:szCs w:val="24"/>
        </w:rPr>
        <w:t>EUR</w:t>
      </w:r>
      <w:r w:rsidRPr="00D2741E">
        <w:rPr>
          <w:rFonts w:ascii="Times New Roman" w:hAnsi="Times New Roman" w:cs="Times New Roman"/>
          <w:sz w:val="24"/>
          <w:szCs w:val="24"/>
        </w:rPr>
        <w:t xml:space="preserve">. </w:t>
      </w:r>
      <w:r w:rsidR="00877D6F" w:rsidRPr="00D2741E">
        <w:rPr>
          <w:rFonts w:ascii="Times New Roman" w:hAnsi="Times New Roman" w:cs="Times New Roman"/>
          <w:sz w:val="24"/>
          <w:szCs w:val="24"/>
        </w:rPr>
        <w:t>P</w:t>
      </w:r>
      <w:r w:rsidRPr="00D2741E">
        <w:rPr>
          <w:rFonts w:ascii="Times New Roman" w:hAnsi="Times New Roman" w:cs="Times New Roman"/>
          <w:sz w:val="24"/>
          <w:szCs w:val="24"/>
        </w:rPr>
        <w:t>lanirani</w:t>
      </w:r>
      <w:r w:rsidR="00877D6F" w:rsidRPr="00D2741E">
        <w:rPr>
          <w:rFonts w:ascii="Times New Roman" w:hAnsi="Times New Roman" w:cs="Times New Roman"/>
          <w:sz w:val="24"/>
          <w:szCs w:val="24"/>
        </w:rPr>
        <w:t xml:space="preserve"> </w:t>
      </w:r>
      <w:r w:rsidRPr="00D2741E">
        <w:rPr>
          <w:rFonts w:ascii="Times New Roman" w:hAnsi="Times New Roman" w:cs="Times New Roman"/>
          <w:sz w:val="24"/>
          <w:szCs w:val="24"/>
        </w:rPr>
        <w:t>rashod</w:t>
      </w:r>
      <w:r w:rsidR="00877D6F" w:rsidRPr="00D2741E">
        <w:rPr>
          <w:rFonts w:ascii="Times New Roman" w:hAnsi="Times New Roman" w:cs="Times New Roman"/>
          <w:sz w:val="24"/>
          <w:szCs w:val="24"/>
        </w:rPr>
        <w:t xml:space="preserve">i </w:t>
      </w:r>
      <w:r w:rsidRPr="00D2741E">
        <w:rPr>
          <w:rFonts w:ascii="Times New Roman" w:hAnsi="Times New Roman" w:cs="Times New Roman"/>
          <w:sz w:val="24"/>
          <w:szCs w:val="24"/>
        </w:rPr>
        <w:t>se</w:t>
      </w:r>
      <w:r w:rsidR="00877D6F" w:rsidRPr="00D2741E">
        <w:rPr>
          <w:rFonts w:ascii="Times New Roman" w:hAnsi="Times New Roman" w:cs="Times New Roman"/>
          <w:sz w:val="24"/>
          <w:szCs w:val="24"/>
        </w:rPr>
        <w:t xml:space="preserve"> poglavito </w:t>
      </w:r>
      <w:r w:rsidRPr="00D2741E">
        <w:rPr>
          <w:rFonts w:ascii="Times New Roman" w:hAnsi="Times New Roman" w:cs="Times New Roman"/>
          <w:sz w:val="24"/>
          <w:szCs w:val="24"/>
        </w:rPr>
        <w:t>odnos</w:t>
      </w:r>
      <w:r w:rsidR="00877D6F" w:rsidRPr="00D2741E">
        <w:rPr>
          <w:rFonts w:ascii="Times New Roman" w:hAnsi="Times New Roman" w:cs="Times New Roman"/>
          <w:sz w:val="24"/>
          <w:szCs w:val="24"/>
        </w:rPr>
        <w:t>e</w:t>
      </w:r>
      <w:r w:rsidRPr="00D2741E">
        <w:rPr>
          <w:rFonts w:ascii="Times New Roman" w:hAnsi="Times New Roman" w:cs="Times New Roman"/>
          <w:sz w:val="24"/>
          <w:szCs w:val="24"/>
        </w:rPr>
        <w:t xml:space="preserve"> na</w:t>
      </w:r>
      <w:r w:rsidR="003902D3" w:rsidRPr="00D2741E">
        <w:rPr>
          <w:rFonts w:ascii="Times New Roman" w:hAnsi="Times New Roman" w:cs="Times New Roman"/>
          <w:sz w:val="24"/>
          <w:szCs w:val="24"/>
        </w:rPr>
        <w:t xml:space="preserve"> </w:t>
      </w:r>
      <w:r w:rsidR="006F3599" w:rsidRPr="00D2741E">
        <w:rPr>
          <w:rFonts w:ascii="Times New Roman" w:hAnsi="Times New Roman" w:cs="Times New Roman"/>
          <w:sz w:val="24"/>
          <w:szCs w:val="24"/>
        </w:rPr>
        <w:t xml:space="preserve">aktivnosti vezane uz </w:t>
      </w:r>
      <w:r w:rsidR="003902D3" w:rsidRPr="00D2741E">
        <w:rPr>
          <w:rFonts w:ascii="Times New Roman" w:hAnsi="Times New Roman" w:cs="Times New Roman"/>
          <w:sz w:val="24"/>
          <w:szCs w:val="24"/>
        </w:rPr>
        <w:t xml:space="preserve">projekt „Digitalna preobrazba visokog </w:t>
      </w:r>
      <w:r w:rsidR="003902D3" w:rsidRPr="00D2741E">
        <w:rPr>
          <w:rFonts w:ascii="Times New Roman" w:hAnsi="Times New Roman" w:cs="Times New Roman"/>
          <w:sz w:val="24"/>
          <w:szCs w:val="24"/>
        </w:rPr>
        <w:lastRenderedPageBreak/>
        <w:t>obrazovanja e-sveučilišta“</w:t>
      </w:r>
      <w:r w:rsidRPr="00D2741E">
        <w:rPr>
          <w:rFonts w:ascii="Times New Roman" w:hAnsi="Times New Roman" w:cs="Times New Roman"/>
          <w:sz w:val="24"/>
          <w:szCs w:val="24"/>
        </w:rPr>
        <w:t xml:space="preserve"> </w:t>
      </w:r>
      <w:r w:rsidR="006F3599" w:rsidRPr="00D2741E">
        <w:rPr>
          <w:rFonts w:ascii="Times New Roman" w:hAnsi="Times New Roman" w:cs="Times New Roman"/>
          <w:sz w:val="24"/>
          <w:szCs w:val="24"/>
        </w:rPr>
        <w:t>za</w:t>
      </w:r>
      <w:r w:rsidR="003902D3" w:rsidRPr="00D2741E">
        <w:rPr>
          <w:rFonts w:ascii="Times New Roman" w:hAnsi="Times New Roman" w:cs="Times New Roman"/>
          <w:sz w:val="24"/>
          <w:szCs w:val="24"/>
        </w:rPr>
        <w:t xml:space="preserve"> </w:t>
      </w:r>
      <w:r w:rsidR="00E70DC0" w:rsidRPr="00D2741E">
        <w:rPr>
          <w:rFonts w:ascii="Times New Roman" w:hAnsi="Times New Roman" w:cs="Times New Roman"/>
          <w:sz w:val="24"/>
          <w:szCs w:val="24"/>
        </w:rPr>
        <w:t>nabavu usluge implementacije aktivne mrežne i pristupne opreme ustanova</w:t>
      </w:r>
      <w:r w:rsidR="00877D6F" w:rsidRPr="00D2741E">
        <w:rPr>
          <w:rFonts w:ascii="Times New Roman" w:hAnsi="Times New Roman" w:cs="Times New Roman"/>
          <w:sz w:val="24"/>
          <w:szCs w:val="24"/>
        </w:rPr>
        <w:t>, te na nabavu usluge poboljšanja tehničkih uvjeta agregacijskih CN čvorišta</w:t>
      </w:r>
    </w:p>
    <w:p w14:paraId="5D828E6A" w14:textId="749E6706" w:rsidR="005D56CF" w:rsidRPr="00D2741E" w:rsidRDefault="005D56CF" w:rsidP="005D56CF">
      <w:pPr>
        <w:pStyle w:val="ListParagraph"/>
        <w:numPr>
          <w:ilvl w:val="0"/>
          <w:numId w:val="1"/>
        </w:numPr>
        <w:spacing w:line="240" w:lineRule="auto"/>
        <w:jc w:val="both"/>
        <w:rPr>
          <w:rFonts w:ascii="Times New Roman" w:hAnsi="Times New Roman" w:cs="Times New Roman"/>
          <w:sz w:val="24"/>
          <w:szCs w:val="24"/>
        </w:rPr>
      </w:pPr>
      <w:r w:rsidRPr="00D2741E">
        <w:rPr>
          <w:rFonts w:ascii="Times New Roman" w:hAnsi="Times New Roman" w:cs="Times New Roman"/>
          <w:sz w:val="24"/>
          <w:szCs w:val="24"/>
        </w:rPr>
        <w:t>Planirani rashodi za tekuće prijenose između proračunskih korisnika i tekuće donacije iz EU sredstava (IZVOR 581, AKT K628095 – 3693 i 3813) odnose se na transfere partnerima na projektu „Hrvatska kvantna komunikacijska infrastruktura (CROQCI)“. CroQCI konzorcij čine ključne istraživačke i znanstvene institucije, ustanove visokog obrazovanja, javne ustanove i javna poduzeća ovlaštena od strane Ministarstva znanosti i obrazovanja za razvoj nacionalne QCI mreže te pripremu i provedbu nacionalnog projekta Hrvatska kvantna komunikacijska infrastruktura – CroQCI.</w:t>
      </w:r>
    </w:p>
    <w:p w14:paraId="6569A895" w14:textId="77777777" w:rsidR="003902D3" w:rsidRPr="00D2741E" w:rsidRDefault="003902D3" w:rsidP="001E0AE3">
      <w:pPr>
        <w:pStyle w:val="ListParagraph"/>
        <w:jc w:val="both"/>
        <w:rPr>
          <w:rFonts w:ascii="Times New Roman" w:hAnsi="Times New Roman" w:cs="Times New Roman"/>
          <w:sz w:val="24"/>
          <w:szCs w:val="24"/>
        </w:rPr>
      </w:pPr>
    </w:p>
    <w:p w14:paraId="27CBF213" w14:textId="5BC992FA" w:rsidR="00C6669F" w:rsidRPr="00D2741E" w:rsidRDefault="003902D3" w:rsidP="006C10B8">
      <w:pPr>
        <w:pStyle w:val="ListParagraph"/>
        <w:numPr>
          <w:ilvl w:val="0"/>
          <w:numId w:val="1"/>
        </w:numPr>
        <w:jc w:val="both"/>
        <w:rPr>
          <w:rFonts w:ascii="Times New Roman" w:hAnsi="Times New Roman" w:cs="Times New Roman"/>
          <w:sz w:val="24"/>
          <w:szCs w:val="24"/>
          <w:lang w:val="en-US"/>
        </w:rPr>
      </w:pPr>
      <w:r w:rsidRPr="00D2741E">
        <w:rPr>
          <w:rFonts w:ascii="Times New Roman" w:hAnsi="Times New Roman" w:cs="Times New Roman"/>
          <w:sz w:val="24"/>
          <w:szCs w:val="24"/>
        </w:rPr>
        <w:t>Planirani rashodi za uredsku opremu i namještaj (IZVOR 581, AKT K628093 – 4221) u nominalnom iznosu 15.93</w:t>
      </w:r>
      <w:r w:rsidR="00877D6F" w:rsidRPr="00D2741E">
        <w:rPr>
          <w:rFonts w:ascii="Times New Roman" w:hAnsi="Times New Roman" w:cs="Times New Roman"/>
          <w:sz w:val="24"/>
          <w:szCs w:val="24"/>
        </w:rPr>
        <w:t>2.330</w:t>
      </w:r>
      <w:r w:rsidRPr="00D2741E">
        <w:rPr>
          <w:rFonts w:ascii="Times New Roman" w:hAnsi="Times New Roman" w:cs="Times New Roman"/>
          <w:sz w:val="24"/>
          <w:szCs w:val="24"/>
        </w:rPr>
        <w:t xml:space="preserve">,00 EUR. Povećanje planiranih rashoda na </w:t>
      </w:r>
      <w:r w:rsidR="006F3599" w:rsidRPr="00D2741E">
        <w:rPr>
          <w:rFonts w:ascii="Times New Roman" w:hAnsi="Times New Roman" w:cs="Times New Roman"/>
          <w:sz w:val="24"/>
          <w:szCs w:val="24"/>
        </w:rPr>
        <w:t xml:space="preserve">predmetnoj </w:t>
      </w:r>
      <w:r w:rsidRPr="00D2741E">
        <w:rPr>
          <w:rFonts w:ascii="Times New Roman" w:hAnsi="Times New Roman" w:cs="Times New Roman"/>
          <w:sz w:val="24"/>
          <w:szCs w:val="24"/>
        </w:rPr>
        <w:t>stavci odnosi</w:t>
      </w:r>
      <w:r w:rsidR="006F3599" w:rsidRPr="00D2741E">
        <w:rPr>
          <w:rFonts w:ascii="Times New Roman" w:hAnsi="Times New Roman" w:cs="Times New Roman"/>
          <w:sz w:val="24"/>
          <w:szCs w:val="24"/>
        </w:rPr>
        <w:t xml:space="preserve"> se</w:t>
      </w:r>
      <w:r w:rsidRPr="00D2741E">
        <w:rPr>
          <w:rFonts w:ascii="Times New Roman" w:hAnsi="Times New Roman" w:cs="Times New Roman"/>
          <w:sz w:val="24"/>
          <w:szCs w:val="24"/>
        </w:rPr>
        <w:t xml:space="preserve"> na aktivnosti vezane za projekt „Digitalna preobrazba visokog obrazovanja e-sveučilišta“ </w:t>
      </w:r>
      <w:r w:rsidR="006F3599" w:rsidRPr="00D2741E">
        <w:rPr>
          <w:rFonts w:ascii="Times New Roman" w:hAnsi="Times New Roman" w:cs="Times New Roman"/>
          <w:sz w:val="24"/>
          <w:szCs w:val="24"/>
        </w:rPr>
        <w:t xml:space="preserve">– poglavito na </w:t>
      </w:r>
      <w:r w:rsidR="00C6669F" w:rsidRPr="00D2741E">
        <w:rPr>
          <w:rFonts w:ascii="Times New Roman" w:hAnsi="Times New Roman" w:cs="Times New Roman"/>
          <w:sz w:val="24"/>
          <w:szCs w:val="24"/>
          <w:lang w:val="en-US"/>
        </w:rPr>
        <w:t>opremanje hibridnih i multimedijskih predavaonica projekcijskim zaslonima, interaktivnim zaslonima, audio ozvučenjima te ostalom opremom, kao i na nabavu audio-vizualne i konferencijske opreme koja može podržati korištenje digitalnih izvora tijekom predavanja te oprema koja se može koristiti za snimanje predavanja uživo i hibridne nastave (računalna i video konferencijska oprema – veliki studio, mali (integrirani) studio, hibridne predavaonice, mobilni AV uređaji).</w:t>
      </w:r>
    </w:p>
    <w:p w14:paraId="797D6774" w14:textId="77777777" w:rsidR="005813A9" w:rsidRPr="00D2741E" w:rsidRDefault="005813A9" w:rsidP="001E0AE3">
      <w:pPr>
        <w:pStyle w:val="ListParagraph"/>
        <w:jc w:val="both"/>
        <w:rPr>
          <w:rFonts w:ascii="Times New Roman" w:hAnsi="Times New Roman" w:cs="Times New Roman"/>
          <w:sz w:val="24"/>
          <w:szCs w:val="24"/>
        </w:rPr>
      </w:pPr>
    </w:p>
    <w:p w14:paraId="43D2EF1A" w14:textId="6D4CC5CD" w:rsidR="000550D6" w:rsidRPr="00D2741E" w:rsidRDefault="00FC7105" w:rsidP="001E0AE3">
      <w:pPr>
        <w:pStyle w:val="ListParagraph"/>
        <w:numPr>
          <w:ilvl w:val="0"/>
          <w:numId w:val="1"/>
        </w:numPr>
        <w:jc w:val="both"/>
        <w:rPr>
          <w:rFonts w:ascii="Times New Roman" w:hAnsi="Times New Roman" w:cs="Times New Roman"/>
          <w:sz w:val="24"/>
          <w:szCs w:val="24"/>
        </w:rPr>
      </w:pPr>
      <w:r w:rsidRPr="00D2741E">
        <w:rPr>
          <w:rFonts w:ascii="Times New Roman" w:hAnsi="Times New Roman" w:cs="Times New Roman"/>
          <w:sz w:val="24"/>
          <w:szCs w:val="24"/>
        </w:rPr>
        <w:t xml:space="preserve">Do značajnih povećanja rashoda za komunikacijsku opremu (IZVOR 581, AKT K628093 –4222) </w:t>
      </w:r>
      <w:r w:rsidR="004B3E63" w:rsidRPr="00D2741E">
        <w:rPr>
          <w:rFonts w:ascii="Times New Roman" w:hAnsi="Times New Roman" w:cs="Times New Roman"/>
          <w:sz w:val="24"/>
          <w:szCs w:val="24"/>
        </w:rPr>
        <w:t xml:space="preserve"> u nominaln</w:t>
      </w:r>
      <w:r w:rsidR="003902D3" w:rsidRPr="00D2741E">
        <w:rPr>
          <w:rFonts w:ascii="Times New Roman" w:hAnsi="Times New Roman" w:cs="Times New Roman"/>
          <w:sz w:val="24"/>
          <w:szCs w:val="24"/>
        </w:rPr>
        <w:t>om</w:t>
      </w:r>
      <w:r w:rsidR="004B3E63" w:rsidRPr="00D2741E">
        <w:rPr>
          <w:rFonts w:ascii="Times New Roman" w:hAnsi="Times New Roman" w:cs="Times New Roman"/>
          <w:sz w:val="24"/>
          <w:szCs w:val="24"/>
        </w:rPr>
        <w:t xml:space="preserve"> iznos</w:t>
      </w:r>
      <w:r w:rsidR="003902D3" w:rsidRPr="00D2741E">
        <w:rPr>
          <w:rFonts w:ascii="Times New Roman" w:hAnsi="Times New Roman" w:cs="Times New Roman"/>
          <w:sz w:val="24"/>
          <w:szCs w:val="24"/>
        </w:rPr>
        <w:t>u od</w:t>
      </w:r>
      <w:r w:rsidR="004B3E63" w:rsidRPr="00D2741E">
        <w:rPr>
          <w:rFonts w:ascii="Times New Roman" w:hAnsi="Times New Roman" w:cs="Times New Roman"/>
          <w:sz w:val="24"/>
          <w:szCs w:val="24"/>
        </w:rPr>
        <w:t xml:space="preserve"> </w:t>
      </w:r>
      <w:r w:rsidR="003902D3" w:rsidRPr="00D2741E">
        <w:rPr>
          <w:rFonts w:ascii="Times New Roman" w:hAnsi="Times New Roman" w:cs="Times New Roman"/>
          <w:sz w:val="24"/>
          <w:szCs w:val="24"/>
        </w:rPr>
        <w:t>22.</w:t>
      </w:r>
      <w:r w:rsidR="00C6669F" w:rsidRPr="00D2741E">
        <w:rPr>
          <w:rFonts w:ascii="Times New Roman" w:hAnsi="Times New Roman" w:cs="Times New Roman"/>
          <w:sz w:val="24"/>
          <w:szCs w:val="24"/>
        </w:rPr>
        <w:t>106.142</w:t>
      </w:r>
      <w:r w:rsidR="004B3E63" w:rsidRPr="00D2741E">
        <w:rPr>
          <w:rFonts w:ascii="Times New Roman" w:hAnsi="Times New Roman" w:cs="Times New Roman"/>
          <w:sz w:val="24"/>
          <w:szCs w:val="24"/>
        </w:rPr>
        <w:t xml:space="preserve">,00 EUR </w:t>
      </w:r>
      <w:r w:rsidRPr="00D2741E">
        <w:rPr>
          <w:rFonts w:ascii="Times New Roman" w:hAnsi="Times New Roman" w:cs="Times New Roman"/>
          <w:sz w:val="24"/>
          <w:szCs w:val="24"/>
        </w:rPr>
        <w:t xml:space="preserve">dolazi također primarno zbog provedbe projekta „Digitalna preobrazba visokog obrazovanja e-sveučilišta“ u sklopu kojeg će se </w:t>
      </w:r>
      <w:r w:rsidR="00E55A8F" w:rsidRPr="00D2741E">
        <w:rPr>
          <w:rFonts w:ascii="Times New Roman" w:hAnsi="Times New Roman" w:cs="Times New Roman"/>
          <w:sz w:val="24"/>
          <w:szCs w:val="24"/>
        </w:rPr>
        <w:t>izgrad</w:t>
      </w:r>
      <w:r w:rsidR="003902D3" w:rsidRPr="00D2741E">
        <w:rPr>
          <w:rFonts w:ascii="Times New Roman" w:hAnsi="Times New Roman" w:cs="Times New Roman"/>
          <w:sz w:val="24"/>
          <w:szCs w:val="24"/>
        </w:rPr>
        <w:t>iti</w:t>
      </w:r>
      <w:r w:rsidR="00E55A8F" w:rsidRPr="00D2741E">
        <w:rPr>
          <w:rFonts w:ascii="Times New Roman" w:hAnsi="Times New Roman" w:cs="Times New Roman"/>
          <w:sz w:val="24"/>
          <w:szCs w:val="24"/>
        </w:rPr>
        <w:t xml:space="preserve"> pasivn</w:t>
      </w:r>
      <w:r w:rsidR="003902D3" w:rsidRPr="00D2741E">
        <w:rPr>
          <w:rFonts w:ascii="Times New Roman" w:hAnsi="Times New Roman" w:cs="Times New Roman"/>
          <w:sz w:val="24"/>
          <w:szCs w:val="24"/>
        </w:rPr>
        <w:t>a</w:t>
      </w:r>
      <w:r w:rsidR="00E55A8F" w:rsidRPr="00D2741E">
        <w:rPr>
          <w:rFonts w:ascii="Times New Roman" w:hAnsi="Times New Roman" w:cs="Times New Roman"/>
          <w:sz w:val="24"/>
          <w:szCs w:val="24"/>
        </w:rPr>
        <w:t xml:space="preserve"> mrežn</w:t>
      </w:r>
      <w:r w:rsidR="003902D3" w:rsidRPr="00D2741E">
        <w:rPr>
          <w:rFonts w:ascii="Times New Roman" w:hAnsi="Times New Roman" w:cs="Times New Roman"/>
          <w:sz w:val="24"/>
          <w:szCs w:val="24"/>
        </w:rPr>
        <w:t>a</w:t>
      </w:r>
      <w:r w:rsidR="00E55A8F" w:rsidRPr="00D2741E">
        <w:rPr>
          <w:rFonts w:ascii="Times New Roman" w:hAnsi="Times New Roman" w:cs="Times New Roman"/>
          <w:sz w:val="24"/>
          <w:szCs w:val="24"/>
        </w:rPr>
        <w:t xml:space="preserve"> infrastruktur</w:t>
      </w:r>
      <w:r w:rsidR="003902D3" w:rsidRPr="00D2741E">
        <w:rPr>
          <w:rFonts w:ascii="Times New Roman" w:hAnsi="Times New Roman" w:cs="Times New Roman"/>
          <w:sz w:val="24"/>
          <w:szCs w:val="24"/>
        </w:rPr>
        <w:t>a</w:t>
      </w:r>
      <w:r w:rsidR="00E55A8F" w:rsidRPr="00D2741E">
        <w:rPr>
          <w:rFonts w:ascii="Times New Roman" w:hAnsi="Times New Roman" w:cs="Times New Roman"/>
          <w:sz w:val="24"/>
          <w:szCs w:val="24"/>
        </w:rPr>
        <w:t xml:space="preserve"> za potrebe provedbe projekta</w:t>
      </w:r>
      <w:r w:rsidR="00694CE2" w:rsidRPr="00D2741E">
        <w:rPr>
          <w:rFonts w:ascii="Times New Roman" w:hAnsi="Times New Roman" w:cs="Times New Roman"/>
          <w:sz w:val="24"/>
          <w:szCs w:val="24"/>
        </w:rPr>
        <w:t>, kao i nadogradnja aktivne mrežne opreme u C</w:t>
      </w:r>
      <w:r w:rsidR="006F3599" w:rsidRPr="00D2741E">
        <w:rPr>
          <w:rFonts w:ascii="Times New Roman" w:hAnsi="Times New Roman" w:cs="Times New Roman"/>
          <w:sz w:val="24"/>
          <w:szCs w:val="24"/>
        </w:rPr>
        <w:t>ARNET</w:t>
      </w:r>
      <w:r w:rsidR="00694CE2" w:rsidRPr="00D2741E">
        <w:rPr>
          <w:rFonts w:ascii="Times New Roman" w:hAnsi="Times New Roman" w:cs="Times New Roman"/>
          <w:sz w:val="24"/>
          <w:szCs w:val="24"/>
        </w:rPr>
        <w:t xml:space="preserve"> okosnici. </w:t>
      </w:r>
      <w:r w:rsidR="00C6669F" w:rsidRPr="00D2741E">
        <w:rPr>
          <w:rFonts w:ascii="Times New Roman" w:hAnsi="Times New Roman" w:cs="Times New Roman"/>
          <w:sz w:val="24"/>
          <w:szCs w:val="24"/>
        </w:rPr>
        <w:t>Ustanove će dobiti napredno upravljanje mrežom sa sigurnosnom komponentom, mogućnost korištenja naprednih mrežnih servisa s osiguranim kapacitetom i stabilnosti veze.</w:t>
      </w:r>
    </w:p>
    <w:p w14:paraId="1A52E9F1" w14:textId="7800605C" w:rsidR="002A2BFD" w:rsidRPr="00D2741E" w:rsidRDefault="002A2BFD" w:rsidP="001E0AE3">
      <w:pPr>
        <w:jc w:val="both"/>
        <w:rPr>
          <w:rFonts w:ascii="Times New Roman" w:hAnsi="Times New Roman" w:cs="Times New Roman"/>
          <w:b/>
          <w:sz w:val="24"/>
          <w:szCs w:val="24"/>
        </w:rPr>
      </w:pPr>
      <w:r w:rsidRPr="00D2741E">
        <w:rPr>
          <w:rFonts w:ascii="Times New Roman" w:hAnsi="Times New Roman" w:cs="Times New Roman"/>
          <w:b/>
          <w:sz w:val="24"/>
          <w:szCs w:val="24"/>
        </w:rPr>
        <w:t xml:space="preserve">NOVA AKTIVNOST </w:t>
      </w:r>
      <w:r w:rsidR="00CB0278" w:rsidRPr="00D2741E">
        <w:rPr>
          <w:rFonts w:ascii="Times New Roman" w:hAnsi="Times New Roman" w:cs="Times New Roman"/>
          <w:b/>
          <w:sz w:val="24"/>
          <w:szCs w:val="24"/>
        </w:rPr>
        <w:t>–</w:t>
      </w:r>
      <w:r w:rsidRPr="00D2741E">
        <w:rPr>
          <w:rFonts w:ascii="Times New Roman" w:hAnsi="Times New Roman" w:cs="Times New Roman"/>
          <w:b/>
          <w:sz w:val="24"/>
          <w:szCs w:val="24"/>
        </w:rPr>
        <w:t xml:space="preserve"> </w:t>
      </w:r>
      <w:r w:rsidR="00CB0278" w:rsidRPr="00D2741E">
        <w:rPr>
          <w:rFonts w:ascii="Times New Roman" w:hAnsi="Times New Roman" w:cs="Times New Roman"/>
          <w:b/>
          <w:sz w:val="24"/>
          <w:szCs w:val="24"/>
        </w:rPr>
        <w:t xml:space="preserve">„QuGNOps – </w:t>
      </w:r>
      <w:r w:rsidR="00DC340A" w:rsidRPr="00D2741E">
        <w:rPr>
          <w:rFonts w:ascii="Times New Roman" w:hAnsi="Times New Roman" w:cs="Times New Roman"/>
          <w:b/>
          <w:sz w:val="24"/>
          <w:szCs w:val="24"/>
        </w:rPr>
        <w:t>Implementacija, integracija i upravljanje prekograničnom kvantnom komunikacijskom mrežom“</w:t>
      </w:r>
    </w:p>
    <w:p w14:paraId="6044EE77" w14:textId="77777777" w:rsidR="00CB0278" w:rsidRPr="00D2741E" w:rsidRDefault="00CB0278" w:rsidP="001E0AE3">
      <w:pPr>
        <w:jc w:val="both"/>
        <w:rPr>
          <w:rFonts w:ascii="Times New Roman" w:hAnsi="Times New Roman" w:cs="Times New Roman"/>
          <w:b/>
          <w:sz w:val="24"/>
          <w:szCs w:val="24"/>
        </w:rPr>
      </w:pPr>
    </w:p>
    <w:p w14:paraId="10BEA14C" w14:textId="56244FD2" w:rsidR="00CB0278" w:rsidRPr="00D2741E" w:rsidRDefault="00631423" w:rsidP="001E0AE3">
      <w:pPr>
        <w:jc w:val="both"/>
        <w:rPr>
          <w:rFonts w:ascii="Times New Roman" w:hAnsi="Times New Roman" w:cs="Times New Roman"/>
          <w:bCs/>
          <w:sz w:val="24"/>
          <w:szCs w:val="24"/>
        </w:rPr>
      </w:pPr>
      <w:r w:rsidRPr="00D2741E">
        <w:rPr>
          <w:rFonts w:ascii="Times New Roman" w:hAnsi="Times New Roman" w:cs="Times New Roman"/>
          <w:bCs/>
          <w:sz w:val="24"/>
          <w:szCs w:val="24"/>
        </w:rPr>
        <w:t>Projekt predstavlja strateški važan korak u razvoju kvantne komunikacijske infrastrukture u Hrvatskoj i Europi, unapređujući sigurnost i povezanost kroz inovativne satelitske sustave kvantne distribucije ključeva. Temelji se na postignućima projekta CroQCI, a fokusira se na nadogradnju i operativno održavanje dviju optičkih zemaljskih postaja (u Njemačkoj i Hrvatskoj), te na prekogranična testiranja i demonstracije koje će osigurati validaciju sustava i jačati europsku suradnju u ovojkritičnoj tehnološkoj grani.</w:t>
      </w:r>
    </w:p>
    <w:p w14:paraId="6F24208E" w14:textId="4FCC1607" w:rsidR="00631423" w:rsidRDefault="00631423" w:rsidP="001E0AE3">
      <w:pPr>
        <w:jc w:val="both"/>
        <w:rPr>
          <w:rFonts w:ascii="Times New Roman" w:hAnsi="Times New Roman" w:cs="Times New Roman"/>
          <w:bCs/>
          <w:sz w:val="24"/>
          <w:szCs w:val="24"/>
        </w:rPr>
      </w:pPr>
      <w:r w:rsidRPr="00D2741E">
        <w:rPr>
          <w:rFonts w:ascii="Times New Roman" w:hAnsi="Times New Roman" w:cs="Times New Roman"/>
          <w:bCs/>
          <w:sz w:val="24"/>
          <w:szCs w:val="24"/>
        </w:rPr>
        <w:t>Projekt će se financirati u okviru Europske inicijative za kvantnu komunikacijsku infrastrukturu CEF-DIG-2024-EUROQCI.</w:t>
      </w:r>
    </w:p>
    <w:p w14:paraId="24F8A416" w14:textId="77777777" w:rsidR="00093AE4" w:rsidRDefault="00093AE4" w:rsidP="001E0AE3">
      <w:pPr>
        <w:jc w:val="both"/>
        <w:rPr>
          <w:rFonts w:ascii="Times New Roman" w:hAnsi="Times New Roman" w:cs="Times New Roman"/>
          <w:bCs/>
          <w:sz w:val="24"/>
          <w:szCs w:val="24"/>
        </w:rPr>
      </w:pPr>
    </w:p>
    <w:p w14:paraId="5B684AAA" w14:textId="77777777" w:rsidR="00631423" w:rsidRDefault="00631423" w:rsidP="001E0AE3">
      <w:pPr>
        <w:jc w:val="both"/>
        <w:rPr>
          <w:rFonts w:ascii="Times New Roman" w:hAnsi="Times New Roman" w:cs="Times New Roman"/>
          <w:bCs/>
          <w:sz w:val="24"/>
          <w:szCs w:val="24"/>
        </w:rPr>
      </w:pPr>
    </w:p>
    <w:p w14:paraId="7B855720" w14:textId="77777777" w:rsidR="00093AE4" w:rsidRPr="00CB0278" w:rsidRDefault="00093AE4" w:rsidP="001E0AE3">
      <w:pPr>
        <w:jc w:val="both"/>
        <w:rPr>
          <w:rFonts w:ascii="Times New Roman" w:hAnsi="Times New Roman" w:cs="Times New Roman"/>
          <w:bCs/>
          <w:sz w:val="24"/>
          <w:szCs w:val="24"/>
        </w:rPr>
      </w:pPr>
    </w:p>
    <w:p w14:paraId="61E47EEF" w14:textId="0B35E52F" w:rsidR="00F471E7" w:rsidRDefault="00F471E7" w:rsidP="00D2741E">
      <w:pPr>
        <w:jc w:val="both"/>
        <w:rPr>
          <w:rFonts w:ascii="Times New Roman" w:hAnsi="Times New Roman" w:cs="Times New Roman"/>
          <w:b/>
          <w:sz w:val="24"/>
          <w:szCs w:val="24"/>
        </w:rPr>
      </w:pPr>
      <w:r w:rsidRPr="002B451A">
        <w:rPr>
          <w:rFonts w:ascii="Times New Roman" w:hAnsi="Times New Roman" w:cs="Times New Roman"/>
          <w:b/>
          <w:sz w:val="24"/>
          <w:szCs w:val="24"/>
        </w:rPr>
        <w:lastRenderedPageBreak/>
        <w:t>PRIJENOS SREDSTAVA IZ PRETHODNE I U SLJEDEĆU GODINU</w:t>
      </w:r>
    </w:p>
    <w:tbl>
      <w:tblPr>
        <w:tblpPr w:leftFromText="180" w:rightFromText="180" w:vertAnchor="text" w:horzAnchor="margin" w:tblpXSpec="center" w:tblpY="347"/>
        <w:tblW w:w="4247" w:type="dxa"/>
        <w:tblLook w:val="04A0" w:firstRow="1" w:lastRow="0" w:firstColumn="1" w:lastColumn="0" w:noHBand="0" w:noVBand="1"/>
      </w:tblPr>
      <w:tblGrid>
        <w:gridCol w:w="1140"/>
        <w:gridCol w:w="960"/>
        <w:gridCol w:w="1027"/>
        <w:gridCol w:w="1120"/>
      </w:tblGrid>
      <w:tr w:rsidR="00E835DA" w:rsidRPr="00E835DA" w14:paraId="4DF3C1AA" w14:textId="77777777" w:rsidTr="00E835DA">
        <w:trPr>
          <w:trHeight w:val="1116"/>
        </w:trPr>
        <w:tc>
          <w:tcPr>
            <w:tcW w:w="1140" w:type="dxa"/>
            <w:tcBorders>
              <w:top w:val="single" w:sz="8" w:space="0" w:color="FFFFFF"/>
              <w:left w:val="single" w:sz="8" w:space="0" w:color="FFFFFF"/>
              <w:bottom w:val="nil"/>
              <w:right w:val="single" w:sz="8" w:space="0" w:color="FFFFFF"/>
            </w:tcBorders>
            <w:shd w:val="clear" w:color="000000" w:fill="333399"/>
            <w:vAlign w:val="center"/>
            <w:hideMark/>
          </w:tcPr>
          <w:p w14:paraId="2CC254FB" w14:textId="77777777" w:rsidR="00E835DA" w:rsidRPr="00E835DA" w:rsidRDefault="00E835DA" w:rsidP="00E835DA">
            <w:pPr>
              <w:spacing w:after="0" w:line="240" w:lineRule="auto"/>
              <w:jc w:val="center"/>
              <w:rPr>
                <w:rFonts w:ascii="Calibri" w:eastAsia="Times New Roman" w:hAnsi="Calibri" w:cs="Calibri"/>
                <w:b/>
                <w:bCs/>
                <w:color w:val="FFFFFF"/>
                <w:sz w:val="20"/>
                <w:szCs w:val="20"/>
                <w:lang w:val="en-US"/>
              </w:rPr>
            </w:pPr>
            <w:r w:rsidRPr="00E835DA">
              <w:rPr>
                <w:rFonts w:ascii="Calibri" w:eastAsia="Times New Roman" w:hAnsi="Calibri" w:cs="Calibri"/>
                <w:b/>
                <w:bCs/>
                <w:color w:val="FFFFFF"/>
                <w:sz w:val="20"/>
                <w:szCs w:val="20"/>
              </w:rPr>
              <w:t>Godina</w:t>
            </w:r>
          </w:p>
        </w:tc>
        <w:tc>
          <w:tcPr>
            <w:tcW w:w="960" w:type="dxa"/>
            <w:tcBorders>
              <w:top w:val="single" w:sz="8" w:space="0" w:color="FFFFFF"/>
              <w:left w:val="nil"/>
              <w:bottom w:val="single" w:sz="8" w:space="0" w:color="FFFFFF"/>
              <w:right w:val="single" w:sz="8" w:space="0" w:color="FFFFFF"/>
            </w:tcBorders>
            <w:shd w:val="clear" w:color="000000" w:fill="333399"/>
            <w:vAlign w:val="center"/>
            <w:hideMark/>
          </w:tcPr>
          <w:p w14:paraId="3642EECF" w14:textId="77777777" w:rsidR="00E835DA" w:rsidRPr="00E835DA" w:rsidRDefault="00E835DA" w:rsidP="00E835DA">
            <w:pPr>
              <w:spacing w:after="0" w:line="240" w:lineRule="auto"/>
              <w:jc w:val="center"/>
              <w:rPr>
                <w:rFonts w:ascii="Calibri" w:eastAsia="Times New Roman" w:hAnsi="Calibri" w:cs="Calibri"/>
                <w:b/>
                <w:bCs/>
                <w:color w:val="FFFFFF"/>
                <w:sz w:val="20"/>
                <w:szCs w:val="20"/>
                <w:lang w:val="en-US"/>
              </w:rPr>
            </w:pPr>
            <w:r w:rsidRPr="00E835DA">
              <w:rPr>
                <w:rFonts w:ascii="Calibri" w:eastAsia="Times New Roman" w:hAnsi="Calibri" w:cs="Calibri"/>
                <w:b/>
                <w:bCs/>
                <w:color w:val="FFFFFF"/>
                <w:sz w:val="20"/>
                <w:szCs w:val="20"/>
              </w:rPr>
              <w:t>IZVOR 31                   Vlastiti prihodi</w:t>
            </w:r>
          </w:p>
        </w:tc>
        <w:tc>
          <w:tcPr>
            <w:tcW w:w="1027" w:type="dxa"/>
            <w:tcBorders>
              <w:top w:val="single" w:sz="8" w:space="0" w:color="FFFFFF"/>
              <w:left w:val="nil"/>
              <w:bottom w:val="single" w:sz="8" w:space="0" w:color="FFFFFF"/>
              <w:right w:val="single" w:sz="8" w:space="0" w:color="FFFFFF"/>
            </w:tcBorders>
            <w:shd w:val="clear" w:color="000000" w:fill="333399"/>
            <w:vAlign w:val="center"/>
            <w:hideMark/>
          </w:tcPr>
          <w:p w14:paraId="40D05BEF" w14:textId="77777777" w:rsidR="00E835DA" w:rsidRPr="00E835DA" w:rsidRDefault="00E835DA" w:rsidP="00E835DA">
            <w:pPr>
              <w:spacing w:after="0" w:line="240" w:lineRule="auto"/>
              <w:jc w:val="center"/>
              <w:rPr>
                <w:rFonts w:ascii="Calibri" w:eastAsia="Times New Roman" w:hAnsi="Calibri" w:cs="Calibri"/>
                <w:b/>
                <w:bCs/>
                <w:color w:val="FFFFFF"/>
                <w:sz w:val="20"/>
                <w:szCs w:val="20"/>
                <w:lang w:val="en-US"/>
              </w:rPr>
            </w:pPr>
            <w:r w:rsidRPr="00E835DA">
              <w:rPr>
                <w:rFonts w:ascii="Calibri" w:eastAsia="Times New Roman" w:hAnsi="Calibri" w:cs="Calibri"/>
                <w:b/>
                <w:bCs/>
                <w:color w:val="FFFFFF"/>
                <w:sz w:val="20"/>
                <w:szCs w:val="20"/>
              </w:rPr>
              <w:t xml:space="preserve">IZVOR 43                   Prihodi za posebne namjene </w:t>
            </w:r>
          </w:p>
        </w:tc>
        <w:tc>
          <w:tcPr>
            <w:tcW w:w="1120" w:type="dxa"/>
            <w:tcBorders>
              <w:top w:val="single" w:sz="8" w:space="0" w:color="FFFFFF"/>
              <w:left w:val="nil"/>
              <w:bottom w:val="single" w:sz="8" w:space="0" w:color="FFFFFF"/>
              <w:right w:val="single" w:sz="8" w:space="0" w:color="FFFFFF"/>
            </w:tcBorders>
            <w:shd w:val="clear" w:color="000000" w:fill="333399"/>
            <w:vAlign w:val="center"/>
            <w:hideMark/>
          </w:tcPr>
          <w:p w14:paraId="1463A669" w14:textId="77777777" w:rsidR="00E835DA" w:rsidRPr="00E835DA" w:rsidRDefault="00E835DA" w:rsidP="00E835DA">
            <w:pPr>
              <w:spacing w:after="0" w:line="240" w:lineRule="auto"/>
              <w:jc w:val="center"/>
              <w:rPr>
                <w:rFonts w:ascii="Calibri" w:eastAsia="Times New Roman" w:hAnsi="Calibri" w:cs="Calibri"/>
                <w:b/>
                <w:bCs/>
                <w:color w:val="FFFFFF"/>
                <w:sz w:val="20"/>
                <w:szCs w:val="20"/>
                <w:lang w:val="en-US"/>
              </w:rPr>
            </w:pPr>
            <w:r w:rsidRPr="00E835DA">
              <w:rPr>
                <w:rFonts w:ascii="Calibri" w:eastAsia="Times New Roman" w:hAnsi="Calibri" w:cs="Calibri"/>
                <w:b/>
                <w:bCs/>
                <w:color w:val="FFFFFF"/>
                <w:sz w:val="20"/>
                <w:szCs w:val="20"/>
              </w:rPr>
              <w:t>IZVOR 51                              Programi unije</w:t>
            </w:r>
          </w:p>
        </w:tc>
      </w:tr>
      <w:tr w:rsidR="00E835DA" w:rsidRPr="00E835DA" w14:paraId="0DE76228" w14:textId="77777777" w:rsidTr="00E835DA">
        <w:trPr>
          <w:trHeight w:val="300"/>
        </w:trPr>
        <w:tc>
          <w:tcPr>
            <w:tcW w:w="1140" w:type="dxa"/>
            <w:tcBorders>
              <w:top w:val="single" w:sz="8" w:space="0" w:color="auto"/>
              <w:left w:val="single" w:sz="8" w:space="0" w:color="auto"/>
              <w:bottom w:val="single" w:sz="8" w:space="0" w:color="auto"/>
              <w:right w:val="single" w:sz="8" w:space="0" w:color="auto"/>
            </w:tcBorders>
            <w:noWrap/>
            <w:vAlign w:val="center"/>
            <w:hideMark/>
          </w:tcPr>
          <w:p w14:paraId="1B598774" w14:textId="77777777" w:rsidR="00E835DA" w:rsidRPr="00E835DA" w:rsidRDefault="00E835DA" w:rsidP="00E835DA">
            <w:pPr>
              <w:spacing w:after="0" w:line="240" w:lineRule="auto"/>
              <w:jc w:val="right"/>
              <w:rPr>
                <w:rFonts w:ascii="Calibri" w:eastAsia="Times New Roman" w:hAnsi="Calibri" w:cs="Calibri"/>
                <w:color w:val="000000"/>
                <w:sz w:val="20"/>
                <w:szCs w:val="20"/>
                <w:lang w:val="en-US"/>
              </w:rPr>
            </w:pPr>
            <w:r w:rsidRPr="00E835DA">
              <w:rPr>
                <w:rFonts w:ascii="Calibri" w:eastAsia="Times New Roman" w:hAnsi="Calibri" w:cs="Calibri"/>
                <w:color w:val="000000"/>
                <w:sz w:val="20"/>
                <w:szCs w:val="20"/>
              </w:rPr>
              <w:t>2026</w:t>
            </w:r>
          </w:p>
        </w:tc>
        <w:tc>
          <w:tcPr>
            <w:tcW w:w="960" w:type="dxa"/>
            <w:tcBorders>
              <w:top w:val="nil"/>
              <w:left w:val="nil"/>
              <w:bottom w:val="single" w:sz="8" w:space="0" w:color="auto"/>
              <w:right w:val="single" w:sz="8" w:space="0" w:color="auto"/>
            </w:tcBorders>
            <w:noWrap/>
            <w:vAlign w:val="center"/>
            <w:hideMark/>
          </w:tcPr>
          <w:p w14:paraId="54AE27CF" w14:textId="77777777" w:rsidR="00E835DA" w:rsidRPr="00E835DA" w:rsidRDefault="00E835DA" w:rsidP="00E835DA">
            <w:pPr>
              <w:spacing w:after="0" w:line="240" w:lineRule="auto"/>
              <w:jc w:val="right"/>
              <w:rPr>
                <w:rFonts w:ascii="Calibri" w:eastAsia="Times New Roman" w:hAnsi="Calibri" w:cs="Calibri"/>
                <w:color w:val="000000"/>
                <w:sz w:val="20"/>
                <w:szCs w:val="20"/>
                <w:lang w:val="en-US"/>
              </w:rPr>
            </w:pPr>
            <w:r w:rsidRPr="00E835DA">
              <w:rPr>
                <w:rFonts w:ascii="Calibri" w:eastAsia="Times New Roman" w:hAnsi="Calibri" w:cs="Calibri"/>
                <w:color w:val="000000"/>
                <w:sz w:val="20"/>
                <w:szCs w:val="20"/>
                <w:lang w:val="en-US"/>
              </w:rPr>
              <w:t>2.000</w:t>
            </w:r>
          </w:p>
        </w:tc>
        <w:tc>
          <w:tcPr>
            <w:tcW w:w="1027" w:type="dxa"/>
            <w:tcBorders>
              <w:top w:val="nil"/>
              <w:left w:val="nil"/>
              <w:bottom w:val="single" w:sz="8" w:space="0" w:color="auto"/>
              <w:right w:val="single" w:sz="8" w:space="0" w:color="auto"/>
            </w:tcBorders>
            <w:noWrap/>
            <w:vAlign w:val="center"/>
            <w:hideMark/>
          </w:tcPr>
          <w:p w14:paraId="383A12A8" w14:textId="77777777" w:rsidR="00E835DA" w:rsidRPr="00E835DA" w:rsidRDefault="00E835DA" w:rsidP="00E835DA">
            <w:pPr>
              <w:spacing w:after="0" w:line="240" w:lineRule="auto"/>
              <w:jc w:val="right"/>
              <w:rPr>
                <w:rFonts w:ascii="Calibri" w:eastAsia="Times New Roman" w:hAnsi="Calibri" w:cs="Calibri"/>
                <w:color w:val="000000"/>
                <w:sz w:val="20"/>
                <w:szCs w:val="20"/>
                <w:lang w:val="en-US"/>
              </w:rPr>
            </w:pPr>
            <w:r w:rsidRPr="00E835DA">
              <w:rPr>
                <w:rFonts w:ascii="Calibri" w:eastAsia="Times New Roman" w:hAnsi="Calibri" w:cs="Calibri"/>
                <w:color w:val="000000"/>
                <w:sz w:val="20"/>
                <w:szCs w:val="20"/>
              </w:rPr>
              <w:t>1.464.003</w:t>
            </w:r>
          </w:p>
        </w:tc>
        <w:tc>
          <w:tcPr>
            <w:tcW w:w="1120" w:type="dxa"/>
            <w:tcBorders>
              <w:top w:val="nil"/>
              <w:left w:val="nil"/>
              <w:bottom w:val="single" w:sz="8" w:space="0" w:color="auto"/>
              <w:right w:val="single" w:sz="8" w:space="0" w:color="auto"/>
            </w:tcBorders>
            <w:noWrap/>
            <w:vAlign w:val="center"/>
            <w:hideMark/>
          </w:tcPr>
          <w:p w14:paraId="26EA846F" w14:textId="77777777" w:rsidR="00E835DA" w:rsidRPr="00E835DA" w:rsidRDefault="00E835DA" w:rsidP="00E835DA">
            <w:pPr>
              <w:spacing w:after="0" w:line="240" w:lineRule="auto"/>
              <w:jc w:val="right"/>
              <w:rPr>
                <w:rFonts w:ascii="Calibri" w:eastAsia="Times New Roman" w:hAnsi="Calibri" w:cs="Calibri"/>
                <w:color w:val="000000"/>
                <w:sz w:val="20"/>
                <w:szCs w:val="20"/>
                <w:lang w:val="en-US"/>
              </w:rPr>
            </w:pPr>
            <w:r w:rsidRPr="00E835DA">
              <w:rPr>
                <w:rFonts w:ascii="Calibri" w:eastAsia="Times New Roman" w:hAnsi="Calibri" w:cs="Calibri"/>
                <w:color w:val="000000"/>
                <w:sz w:val="20"/>
                <w:szCs w:val="20"/>
              </w:rPr>
              <w:t>3.620.765</w:t>
            </w:r>
          </w:p>
        </w:tc>
      </w:tr>
      <w:tr w:rsidR="00E835DA" w:rsidRPr="00E835DA" w14:paraId="38900092" w14:textId="77777777" w:rsidTr="00E835DA">
        <w:trPr>
          <w:trHeight w:val="300"/>
        </w:trPr>
        <w:tc>
          <w:tcPr>
            <w:tcW w:w="1140" w:type="dxa"/>
            <w:tcBorders>
              <w:top w:val="nil"/>
              <w:left w:val="single" w:sz="8" w:space="0" w:color="auto"/>
              <w:bottom w:val="single" w:sz="8" w:space="0" w:color="auto"/>
              <w:right w:val="single" w:sz="8" w:space="0" w:color="auto"/>
            </w:tcBorders>
            <w:noWrap/>
            <w:vAlign w:val="center"/>
            <w:hideMark/>
          </w:tcPr>
          <w:p w14:paraId="00AD451E" w14:textId="77777777" w:rsidR="00E835DA" w:rsidRPr="00E835DA" w:rsidRDefault="00E835DA" w:rsidP="00E835DA">
            <w:pPr>
              <w:spacing w:after="0" w:line="240" w:lineRule="auto"/>
              <w:jc w:val="right"/>
              <w:rPr>
                <w:rFonts w:ascii="Calibri" w:eastAsia="Times New Roman" w:hAnsi="Calibri" w:cs="Calibri"/>
                <w:color w:val="000000"/>
                <w:sz w:val="20"/>
                <w:szCs w:val="20"/>
                <w:lang w:val="en-US"/>
              </w:rPr>
            </w:pPr>
            <w:r w:rsidRPr="00E835DA">
              <w:rPr>
                <w:rFonts w:ascii="Calibri" w:eastAsia="Times New Roman" w:hAnsi="Calibri" w:cs="Calibri"/>
                <w:color w:val="000000"/>
                <w:sz w:val="20"/>
                <w:szCs w:val="20"/>
              </w:rPr>
              <w:t>2027</w:t>
            </w:r>
          </w:p>
        </w:tc>
        <w:tc>
          <w:tcPr>
            <w:tcW w:w="960" w:type="dxa"/>
            <w:tcBorders>
              <w:top w:val="nil"/>
              <w:left w:val="nil"/>
              <w:bottom w:val="single" w:sz="8" w:space="0" w:color="auto"/>
              <w:right w:val="single" w:sz="8" w:space="0" w:color="auto"/>
            </w:tcBorders>
            <w:noWrap/>
            <w:vAlign w:val="center"/>
            <w:hideMark/>
          </w:tcPr>
          <w:p w14:paraId="1241464D" w14:textId="77777777" w:rsidR="00E835DA" w:rsidRPr="00E835DA" w:rsidRDefault="00E835DA" w:rsidP="00E835DA">
            <w:pPr>
              <w:spacing w:after="0" w:line="240" w:lineRule="auto"/>
              <w:jc w:val="right"/>
              <w:rPr>
                <w:rFonts w:ascii="Calibri" w:eastAsia="Times New Roman" w:hAnsi="Calibri" w:cs="Calibri"/>
                <w:color w:val="000000"/>
                <w:sz w:val="20"/>
                <w:szCs w:val="20"/>
                <w:lang w:val="en-US"/>
              </w:rPr>
            </w:pPr>
            <w:r w:rsidRPr="00E835DA">
              <w:rPr>
                <w:rFonts w:ascii="Calibri" w:eastAsia="Times New Roman" w:hAnsi="Calibri" w:cs="Calibri"/>
                <w:color w:val="000000"/>
                <w:sz w:val="20"/>
                <w:szCs w:val="20"/>
                <w:lang w:val="en-US"/>
              </w:rPr>
              <w:t>2.000</w:t>
            </w:r>
          </w:p>
        </w:tc>
        <w:tc>
          <w:tcPr>
            <w:tcW w:w="1027" w:type="dxa"/>
            <w:tcBorders>
              <w:top w:val="nil"/>
              <w:left w:val="nil"/>
              <w:bottom w:val="single" w:sz="8" w:space="0" w:color="auto"/>
              <w:right w:val="single" w:sz="8" w:space="0" w:color="auto"/>
            </w:tcBorders>
            <w:noWrap/>
            <w:vAlign w:val="center"/>
            <w:hideMark/>
          </w:tcPr>
          <w:p w14:paraId="6D32A680" w14:textId="77777777" w:rsidR="00E835DA" w:rsidRPr="00E835DA" w:rsidRDefault="00E835DA" w:rsidP="00E835DA">
            <w:pPr>
              <w:spacing w:after="0" w:line="240" w:lineRule="auto"/>
              <w:jc w:val="right"/>
              <w:rPr>
                <w:rFonts w:ascii="Calibri" w:eastAsia="Times New Roman" w:hAnsi="Calibri" w:cs="Calibri"/>
                <w:color w:val="000000"/>
                <w:sz w:val="20"/>
                <w:szCs w:val="20"/>
                <w:lang w:val="en-US"/>
              </w:rPr>
            </w:pPr>
            <w:r w:rsidRPr="00E835DA">
              <w:rPr>
                <w:rFonts w:ascii="Calibri" w:eastAsia="Times New Roman" w:hAnsi="Calibri" w:cs="Calibri"/>
                <w:color w:val="000000"/>
                <w:sz w:val="20"/>
                <w:szCs w:val="20"/>
              </w:rPr>
              <w:t>1.144.713</w:t>
            </w:r>
          </w:p>
        </w:tc>
        <w:tc>
          <w:tcPr>
            <w:tcW w:w="1120" w:type="dxa"/>
            <w:tcBorders>
              <w:top w:val="nil"/>
              <w:left w:val="nil"/>
              <w:bottom w:val="single" w:sz="8" w:space="0" w:color="auto"/>
              <w:right w:val="single" w:sz="8" w:space="0" w:color="auto"/>
            </w:tcBorders>
            <w:noWrap/>
            <w:vAlign w:val="center"/>
            <w:hideMark/>
          </w:tcPr>
          <w:p w14:paraId="4B2A807C" w14:textId="77777777" w:rsidR="00E835DA" w:rsidRPr="00E835DA" w:rsidRDefault="00E835DA" w:rsidP="00E835DA">
            <w:pPr>
              <w:spacing w:after="0" w:line="240" w:lineRule="auto"/>
              <w:jc w:val="right"/>
              <w:rPr>
                <w:rFonts w:ascii="Calibri" w:eastAsia="Times New Roman" w:hAnsi="Calibri" w:cs="Calibri"/>
                <w:color w:val="000000"/>
                <w:sz w:val="20"/>
                <w:szCs w:val="20"/>
                <w:lang w:val="en-US"/>
              </w:rPr>
            </w:pPr>
            <w:r w:rsidRPr="00E835DA">
              <w:rPr>
                <w:rFonts w:ascii="Calibri" w:eastAsia="Times New Roman" w:hAnsi="Calibri" w:cs="Calibri"/>
                <w:color w:val="000000"/>
                <w:sz w:val="20"/>
                <w:szCs w:val="20"/>
              </w:rPr>
              <w:t>1.891.036</w:t>
            </w:r>
          </w:p>
        </w:tc>
      </w:tr>
      <w:tr w:rsidR="00E835DA" w:rsidRPr="00E835DA" w14:paraId="2D9A7F27" w14:textId="77777777" w:rsidTr="00E835DA">
        <w:trPr>
          <w:trHeight w:val="300"/>
        </w:trPr>
        <w:tc>
          <w:tcPr>
            <w:tcW w:w="1140" w:type="dxa"/>
            <w:tcBorders>
              <w:top w:val="nil"/>
              <w:left w:val="single" w:sz="8" w:space="0" w:color="auto"/>
              <w:bottom w:val="single" w:sz="8" w:space="0" w:color="auto"/>
              <w:right w:val="single" w:sz="8" w:space="0" w:color="auto"/>
            </w:tcBorders>
            <w:noWrap/>
            <w:vAlign w:val="center"/>
            <w:hideMark/>
          </w:tcPr>
          <w:p w14:paraId="0772AD9F" w14:textId="77777777" w:rsidR="00E835DA" w:rsidRPr="00E835DA" w:rsidRDefault="00E835DA" w:rsidP="00E835DA">
            <w:pPr>
              <w:spacing w:after="0" w:line="240" w:lineRule="auto"/>
              <w:jc w:val="right"/>
              <w:rPr>
                <w:rFonts w:ascii="Calibri" w:eastAsia="Times New Roman" w:hAnsi="Calibri" w:cs="Calibri"/>
                <w:color w:val="000000"/>
                <w:sz w:val="20"/>
                <w:szCs w:val="20"/>
                <w:lang w:val="en-US"/>
              </w:rPr>
            </w:pPr>
            <w:r w:rsidRPr="00E835DA">
              <w:rPr>
                <w:rFonts w:ascii="Calibri" w:eastAsia="Times New Roman" w:hAnsi="Calibri" w:cs="Calibri"/>
                <w:color w:val="000000"/>
                <w:sz w:val="20"/>
                <w:szCs w:val="20"/>
              </w:rPr>
              <w:t>2028</w:t>
            </w:r>
          </w:p>
        </w:tc>
        <w:tc>
          <w:tcPr>
            <w:tcW w:w="960" w:type="dxa"/>
            <w:tcBorders>
              <w:top w:val="nil"/>
              <w:left w:val="nil"/>
              <w:bottom w:val="single" w:sz="8" w:space="0" w:color="auto"/>
              <w:right w:val="single" w:sz="8" w:space="0" w:color="auto"/>
            </w:tcBorders>
            <w:noWrap/>
            <w:vAlign w:val="center"/>
            <w:hideMark/>
          </w:tcPr>
          <w:p w14:paraId="557B524D" w14:textId="77777777" w:rsidR="00E835DA" w:rsidRPr="00E835DA" w:rsidRDefault="00E835DA" w:rsidP="00E835DA">
            <w:pPr>
              <w:spacing w:after="0" w:line="240" w:lineRule="auto"/>
              <w:jc w:val="right"/>
              <w:rPr>
                <w:rFonts w:ascii="Calibri" w:eastAsia="Times New Roman" w:hAnsi="Calibri" w:cs="Calibri"/>
                <w:color w:val="000000"/>
                <w:sz w:val="20"/>
                <w:szCs w:val="20"/>
                <w:lang w:val="en-US"/>
              </w:rPr>
            </w:pPr>
            <w:r w:rsidRPr="00E835DA">
              <w:rPr>
                <w:rFonts w:ascii="Calibri" w:eastAsia="Times New Roman" w:hAnsi="Calibri" w:cs="Calibri"/>
                <w:color w:val="000000"/>
                <w:sz w:val="20"/>
                <w:szCs w:val="20"/>
                <w:lang w:val="en-US"/>
              </w:rPr>
              <w:t>2.000</w:t>
            </w:r>
          </w:p>
        </w:tc>
        <w:tc>
          <w:tcPr>
            <w:tcW w:w="1027" w:type="dxa"/>
            <w:tcBorders>
              <w:top w:val="nil"/>
              <w:left w:val="nil"/>
              <w:bottom w:val="single" w:sz="8" w:space="0" w:color="auto"/>
              <w:right w:val="single" w:sz="8" w:space="0" w:color="auto"/>
            </w:tcBorders>
            <w:noWrap/>
            <w:vAlign w:val="center"/>
            <w:hideMark/>
          </w:tcPr>
          <w:p w14:paraId="77112DE2" w14:textId="77777777" w:rsidR="00E835DA" w:rsidRPr="00E835DA" w:rsidRDefault="00E835DA" w:rsidP="00E835DA">
            <w:pPr>
              <w:spacing w:after="0" w:line="240" w:lineRule="auto"/>
              <w:jc w:val="right"/>
              <w:rPr>
                <w:rFonts w:ascii="Calibri" w:eastAsia="Times New Roman" w:hAnsi="Calibri" w:cs="Calibri"/>
                <w:color w:val="000000"/>
                <w:sz w:val="20"/>
                <w:szCs w:val="20"/>
                <w:lang w:val="en-US"/>
              </w:rPr>
            </w:pPr>
            <w:r w:rsidRPr="00E835DA">
              <w:rPr>
                <w:rFonts w:ascii="Calibri" w:eastAsia="Times New Roman" w:hAnsi="Calibri" w:cs="Calibri"/>
                <w:color w:val="000000"/>
                <w:sz w:val="20"/>
                <w:szCs w:val="20"/>
              </w:rPr>
              <w:t>825.423</w:t>
            </w:r>
          </w:p>
        </w:tc>
        <w:tc>
          <w:tcPr>
            <w:tcW w:w="1120" w:type="dxa"/>
            <w:tcBorders>
              <w:top w:val="nil"/>
              <w:left w:val="nil"/>
              <w:bottom w:val="single" w:sz="8" w:space="0" w:color="auto"/>
              <w:right w:val="single" w:sz="8" w:space="0" w:color="auto"/>
            </w:tcBorders>
            <w:noWrap/>
            <w:vAlign w:val="center"/>
            <w:hideMark/>
          </w:tcPr>
          <w:p w14:paraId="691A361A" w14:textId="77777777" w:rsidR="00E835DA" w:rsidRPr="00E835DA" w:rsidRDefault="00E835DA" w:rsidP="00E835DA">
            <w:pPr>
              <w:spacing w:after="0" w:line="240" w:lineRule="auto"/>
              <w:jc w:val="right"/>
              <w:rPr>
                <w:rFonts w:ascii="Calibri" w:eastAsia="Times New Roman" w:hAnsi="Calibri" w:cs="Calibri"/>
                <w:color w:val="000000"/>
                <w:sz w:val="20"/>
                <w:szCs w:val="20"/>
                <w:lang w:val="en-US"/>
              </w:rPr>
            </w:pPr>
            <w:r w:rsidRPr="00E835DA">
              <w:rPr>
                <w:rFonts w:ascii="Calibri" w:eastAsia="Times New Roman" w:hAnsi="Calibri" w:cs="Calibri"/>
                <w:color w:val="000000"/>
                <w:sz w:val="20"/>
                <w:szCs w:val="20"/>
              </w:rPr>
              <w:t>585.800</w:t>
            </w:r>
          </w:p>
        </w:tc>
      </w:tr>
    </w:tbl>
    <w:p w14:paraId="6B022124" w14:textId="77777777" w:rsidR="00093AE4" w:rsidRPr="002B451A" w:rsidRDefault="00093AE4" w:rsidP="00D2741E">
      <w:pPr>
        <w:jc w:val="both"/>
        <w:rPr>
          <w:rFonts w:ascii="Times New Roman" w:hAnsi="Times New Roman" w:cs="Times New Roman"/>
          <w:b/>
          <w:sz w:val="24"/>
          <w:szCs w:val="24"/>
        </w:rPr>
      </w:pPr>
    </w:p>
    <w:p w14:paraId="2CB34C35" w14:textId="757F54A8" w:rsidR="00125EBE" w:rsidRPr="002B451A" w:rsidRDefault="00125EBE" w:rsidP="002000CF">
      <w:pPr>
        <w:spacing w:line="240" w:lineRule="auto"/>
        <w:jc w:val="center"/>
        <w:rPr>
          <w:rFonts w:ascii="Times New Roman" w:hAnsi="Times New Roman" w:cs="Times New Roman"/>
          <w:sz w:val="24"/>
          <w:szCs w:val="24"/>
        </w:rPr>
      </w:pPr>
    </w:p>
    <w:p w14:paraId="30DFB535" w14:textId="1137759E" w:rsidR="00125EBE" w:rsidRDefault="00125EBE" w:rsidP="001E0AE3">
      <w:pPr>
        <w:spacing w:line="240" w:lineRule="auto"/>
        <w:jc w:val="both"/>
        <w:rPr>
          <w:rFonts w:ascii="Times New Roman" w:hAnsi="Times New Roman" w:cs="Times New Roman"/>
          <w:sz w:val="24"/>
          <w:szCs w:val="24"/>
        </w:rPr>
      </w:pPr>
    </w:p>
    <w:p w14:paraId="3A1A6F77" w14:textId="77777777" w:rsidR="002000CF" w:rsidRDefault="002000CF" w:rsidP="001E0AE3">
      <w:pPr>
        <w:spacing w:line="240" w:lineRule="auto"/>
        <w:jc w:val="both"/>
        <w:rPr>
          <w:rFonts w:ascii="Times New Roman" w:hAnsi="Times New Roman" w:cs="Times New Roman"/>
          <w:sz w:val="24"/>
          <w:szCs w:val="24"/>
        </w:rPr>
      </w:pPr>
    </w:p>
    <w:p w14:paraId="7636C5F8" w14:textId="77777777" w:rsidR="002000CF" w:rsidRDefault="002000CF" w:rsidP="001E0AE3">
      <w:pPr>
        <w:spacing w:line="240" w:lineRule="auto"/>
        <w:jc w:val="both"/>
        <w:rPr>
          <w:rFonts w:ascii="Times New Roman" w:hAnsi="Times New Roman" w:cs="Times New Roman"/>
          <w:sz w:val="24"/>
          <w:szCs w:val="24"/>
        </w:rPr>
      </w:pPr>
    </w:p>
    <w:p w14:paraId="26BD89DD" w14:textId="77777777" w:rsidR="002000CF" w:rsidRDefault="002000CF" w:rsidP="001E0AE3">
      <w:pPr>
        <w:spacing w:line="240" w:lineRule="auto"/>
        <w:jc w:val="both"/>
        <w:rPr>
          <w:rFonts w:ascii="Times New Roman" w:hAnsi="Times New Roman" w:cs="Times New Roman"/>
          <w:sz w:val="24"/>
          <w:szCs w:val="24"/>
        </w:rPr>
      </w:pPr>
    </w:p>
    <w:p w14:paraId="172DAC5B" w14:textId="77777777" w:rsidR="00E835DA" w:rsidRDefault="00E835DA" w:rsidP="001E0AE3">
      <w:pPr>
        <w:spacing w:line="240" w:lineRule="auto"/>
        <w:jc w:val="both"/>
        <w:rPr>
          <w:rFonts w:ascii="Times New Roman" w:hAnsi="Times New Roman" w:cs="Times New Roman"/>
          <w:sz w:val="24"/>
          <w:szCs w:val="24"/>
        </w:rPr>
      </w:pPr>
    </w:p>
    <w:p w14:paraId="72D33FA8" w14:textId="2788143C" w:rsidR="003B1028" w:rsidRPr="002B451A" w:rsidRDefault="003B1028" w:rsidP="001E0AE3">
      <w:pPr>
        <w:pStyle w:val="ListParagraph"/>
        <w:numPr>
          <w:ilvl w:val="0"/>
          <w:numId w:val="1"/>
        </w:numPr>
        <w:spacing w:line="240" w:lineRule="auto"/>
        <w:jc w:val="both"/>
        <w:rPr>
          <w:rFonts w:ascii="Times New Roman" w:hAnsi="Times New Roman" w:cs="Times New Roman"/>
          <w:sz w:val="24"/>
          <w:szCs w:val="24"/>
        </w:rPr>
      </w:pPr>
      <w:r w:rsidRPr="002B451A">
        <w:rPr>
          <w:rFonts w:ascii="Times New Roman" w:hAnsi="Times New Roman" w:cs="Times New Roman"/>
          <w:sz w:val="24"/>
          <w:szCs w:val="24"/>
        </w:rPr>
        <w:t xml:space="preserve">Planirani prijenos neutrošenih sredstava na izvoru 43 u nominalnom iznosu </w:t>
      </w:r>
      <w:r w:rsidR="00325AC1" w:rsidRPr="002B451A">
        <w:rPr>
          <w:rFonts w:ascii="Times New Roman" w:hAnsi="Times New Roman" w:cs="Times New Roman"/>
          <w:sz w:val="24"/>
          <w:szCs w:val="24"/>
        </w:rPr>
        <w:t>1.</w:t>
      </w:r>
      <w:r w:rsidR="002000CF">
        <w:rPr>
          <w:rFonts w:ascii="Times New Roman" w:hAnsi="Times New Roman" w:cs="Times New Roman"/>
          <w:sz w:val="24"/>
          <w:szCs w:val="24"/>
        </w:rPr>
        <w:t>4</w:t>
      </w:r>
      <w:r w:rsidR="00E835DA">
        <w:rPr>
          <w:rFonts w:ascii="Times New Roman" w:hAnsi="Times New Roman" w:cs="Times New Roman"/>
          <w:sz w:val="24"/>
          <w:szCs w:val="24"/>
        </w:rPr>
        <w:t>64</w:t>
      </w:r>
      <w:r w:rsidR="002000CF">
        <w:rPr>
          <w:rFonts w:ascii="Times New Roman" w:hAnsi="Times New Roman" w:cs="Times New Roman"/>
          <w:sz w:val="24"/>
          <w:szCs w:val="24"/>
        </w:rPr>
        <w:t>.</w:t>
      </w:r>
      <w:r w:rsidR="00E835DA">
        <w:rPr>
          <w:rFonts w:ascii="Times New Roman" w:hAnsi="Times New Roman" w:cs="Times New Roman"/>
          <w:sz w:val="24"/>
          <w:szCs w:val="24"/>
        </w:rPr>
        <w:t>0</w:t>
      </w:r>
      <w:r w:rsidR="002000CF">
        <w:rPr>
          <w:rFonts w:ascii="Times New Roman" w:hAnsi="Times New Roman" w:cs="Times New Roman"/>
          <w:sz w:val="24"/>
          <w:szCs w:val="24"/>
        </w:rPr>
        <w:t>0</w:t>
      </w:r>
      <w:r w:rsidR="00E835DA">
        <w:rPr>
          <w:rFonts w:ascii="Times New Roman" w:hAnsi="Times New Roman" w:cs="Times New Roman"/>
          <w:sz w:val="24"/>
          <w:szCs w:val="24"/>
        </w:rPr>
        <w:t>3</w:t>
      </w:r>
      <w:r w:rsidRPr="002B451A">
        <w:rPr>
          <w:rFonts w:ascii="Times New Roman" w:hAnsi="Times New Roman" w:cs="Times New Roman"/>
          <w:sz w:val="24"/>
          <w:szCs w:val="24"/>
        </w:rPr>
        <w:t xml:space="preserve"> EUR</w:t>
      </w:r>
      <w:r w:rsidR="00ED78E9">
        <w:rPr>
          <w:rFonts w:ascii="Times New Roman" w:hAnsi="Times New Roman" w:cs="Times New Roman"/>
          <w:sz w:val="24"/>
          <w:szCs w:val="24"/>
        </w:rPr>
        <w:t>. Navedena sredstva</w:t>
      </w:r>
      <w:r w:rsidRPr="002B451A">
        <w:rPr>
          <w:rFonts w:ascii="Times New Roman" w:hAnsi="Times New Roman" w:cs="Times New Roman"/>
          <w:sz w:val="24"/>
          <w:szCs w:val="24"/>
        </w:rPr>
        <w:t xml:space="preserve"> ostvaren</w:t>
      </w:r>
      <w:r w:rsidR="00ED78E9">
        <w:rPr>
          <w:rFonts w:ascii="Times New Roman" w:hAnsi="Times New Roman" w:cs="Times New Roman"/>
          <w:sz w:val="24"/>
          <w:szCs w:val="24"/>
        </w:rPr>
        <w:t>a</w:t>
      </w:r>
      <w:r w:rsidRPr="002B451A">
        <w:rPr>
          <w:rFonts w:ascii="Times New Roman" w:hAnsi="Times New Roman" w:cs="Times New Roman"/>
          <w:sz w:val="24"/>
          <w:szCs w:val="24"/>
        </w:rPr>
        <w:t xml:space="preserve"> su kao prihod od registracije nacionalne domene Republike Hrvatske (.hr) koje se registriraju u skladu s Pravilnikom o ustrojstvu i upravljanju vršnom nacionalnom internetskom domenom. Korištenje DNS (Domain Name System) sustava, ostvaruje se kroz nezavisnu organizaciju ICANN (Internet Corporation for Assigned Names and Numbers) te je jedna od primarnih djelatnosti Hrvatske akademske i istraživačke mreže CARNET od 1993. godine.</w:t>
      </w:r>
    </w:p>
    <w:p w14:paraId="01174657" w14:textId="77777777" w:rsidR="001C1833" w:rsidRPr="002B451A" w:rsidRDefault="001C1833" w:rsidP="001E0AE3">
      <w:pPr>
        <w:pStyle w:val="ListParagraph"/>
        <w:spacing w:line="240" w:lineRule="auto"/>
        <w:jc w:val="both"/>
        <w:rPr>
          <w:rFonts w:ascii="Times New Roman" w:hAnsi="Times New Roman" w:cs="Times New Roman"/>
          <w:sz w:val="24"/>
          <w:szCs w:val="24"/>
        </w:rPr>
      </w:pPr>
    </w:p>
    <w:bookmarkEnd w:id="0"/>
    <w:p w14:paraId="2BD5CC04" w14:textId="5F3F4F2D" w:rsidR="0045409E" w:rsidRPr="00446B23" w:rsidRDefault="0045409E" w:rsidP="001E0AE3">
      <w:pPr>
        <w:pStyle w:val="ListParagraph"/>
        <w:numPr>
          <w:ilvl w:val="0"/>
          <w:numId w:val="1"/>
        </w:numPr>
        <w:spacing w:line="240" w:lineRule="auto"/>
        <w:jc w:val="both"/>
        <w:rPr>
          <w:rFonts w:ascii="Times New Roman" w:hAnsi="Times New Roman" w:cs="Times New Roman"/>
          <w:sz w:val="24"/>
          <w:szCs w:val="24"/>
        </w:rPr>
      </w:pPr>
      <w:r w:rsidRPr="00446B23">
        <w:rPr>
          <w:rFonts w:ascii="Times New Roman" w:hAnsi="Times New Roman" w:cs="Times New Roman"/>
          <w:sz w:val="24"/>
          <w:szCs w:val="24"/>
        </w:rPr>
        <w:t xml:space="preserve">Sredstva su akumulirana tijekom godina </w:t>
      </w:r>
      <w:r w:rsidR="00ED78E9" w:rsidRPr="00446B23">
        <w:rPr>
          <w:rFonts w:ascii="Times New Roman" w:hAnsi="Times New Roman" w:cs="Times New Roman"/>
          <w:sz w:val="24"/>
          <w:szCs w:val="24"/>
        </w:rPr>
        <w:t xml:space="preserve">s obzirom kako </w:t>
      </w:r>
      <w:r w:rsidRPr="00446B23">
        <w:rPr>
          <w:rFonts w:ascii="Times New Roman" w:hAnsi="Times New Roman" w:cs="Times New Roman"/>
          <w:sz w:val="24"/>
          <w:szCs w:val="24"/>
        </w:rPr>
        <w:t xml:space="preserve">CARNET u redovnom radu nije ostvario toliku razinu rashoda da bi se ista utrošila. Kako opseg poslovanja CARNET-a raste </w:t>
      </w:r>
      <w:r w:rsidR="00446B23" w:rsidRPr="00446B23">
        <w:rPr>
          <w:rFonts w:ascii="Times New Roman" w:hAnsi="Times New Roman" w:cs="Times New Roman"/>
          <w:sz w:val="24"/>
          <w:szCs w:val="24"/>
        </w:rPr>
        <w:t>tako se očekuje i povećana</w:t>
      </w:r>
      <w:r w:rsidRPr="00446B23">
        <w:rPr>
          <w:rFonts w:ascii="Times New Roman" w:hAnsi="Times New Roman" w:cs="Times New Roman"/>
          <w:sz w:val="24"/>
          <w:szCs w:val="24"/>
        </w:rPr>
        <w:t xml:space="preserve"> razina trošenja tih sredstava u narednom proračunskom razdoblju. Navedena sredstva će se potrošiti u skladu sa stavkama unutar predanog financijskog plana za razdoblje 202</w:t>
      </w:r>
      <w:r w:rsidR="002000CF">
        <w:rPr>
          <w:rFonts w:ascii="Times New Roman" w:hAnsi="Times New Roman" w:cs="Times New Roman"/>
          <w:sz w:val="24"/>
          <w:szCs w:val="24"/>
        </w:rPr>
        <w:t>6</w:t>
      </w:r>
      <w:r w:rsidRPr="00446B23">
        <w:rPr>
          <w:rFonts w:ascii="Times New Roman" w:hAnsi="Times New Roman" w:cs="Times New Roman"/>
          <w:sz w:val="24"/>
          <w:szCs w:val="24"/>
        </w:rPr>
        <w:t>.-202</w:t>
      </w:r>
      <w:r w:rsidR="002000CF">
        <w:rPr>
          <w:rFonts w:ascii="Times New Roman" w:hAnsi="Times New Roman" w:cs="Times New Roman"/>
          <w:sz w:val="24"/>
          <w:szCs w:val="24"/>
        </w:rPr>
        <w:t>8</w:t>
      </w:r>
      <w:r w:rsidRPr="00446B23">
        <w:rPr>
          <w:rFonts w:ascii="Times New Roman" w:hAnsi="Times New Roman" w:cs="Times New Roman"/>
          <w:sz w:val="24"/>
          <w:szCs w:val="24"/>
        </w:rPr>
        <w:t>. te za daljnji razvoj i unaprijeđenje kvalitete funkcioniranja nacionalnog domenskog sustava.</w:t>
      </w:r>
    </w:p>
    <w:p w14:paraId="440086C0" w14:textId="77777777" w:rsidR="0045409E" w:rsidRPr="0009133B" w:rsidRDefault="0045409E" w:rsidP="001E0AE3">
      <w:pPr>
        <w:pStyle w:val="ListParagraph"/>
        <w:spacing w:line="240" w:lineRule="auto"/>
        <w:jc w:val="both"/>
        <w:rPr>
          <w:rFonts w:ascii="Times New Roman" w:hAnsi="Times New Roman" w:cs="Times New Roman"/>
          <w:sz w:val="24"/>
          <w:szCs w:val="24"/>
          <w:highlight w:val="yellow"/>
        </w:rPr>
      </w:pPr>
    </w:p>
    <w:p w14:paraId="633E50A9" w14:textId="743ED6C4" w:rsidR="0045409E" w:rsidRPr="00D219D1" w:rsidRDefault="0045409E" w:rsidP="001E0AE3">
      <w:pPr>
        <w:pStyle w:val="ListParagraph"/>
        <w:numPr>
          <w:ilvl w:val="0"/>
          <w:numId w:val="1"/>
        </w:numPr>
        <w:spacing w:line="240" w:lineRule="auto"/>
        <w:jc w:val="both"/>
        <w:rPr>
          <w:rFonts w:ascii="Times New Roman" w:hAnsi="Times New Roman" w:cs="Times New Roman"/>
          <w:sz w:val="24"/>
          <w:szCs w:val="24"/>
        </w:rPr>
      </w:pPr>
      <w:r w:rsidRPr="00D219D1">
        <w:rPr>
          <w:rFonts w:ascii="Times New Roman" w:hAnsi="Times New Roman" w:cs="Times New Roman"/>
          <w:sz w:val="24"/>
          <w:szCs w:val="24"/>
        </w:rPr>
        <w:t>U 202</w:t>
      </w:r>
      <w:r w:rsidR="002000CF">
        <w:rPr>
          <w:rFonts w:ascii="Times New Roman" w:hAnsi="Times New Roman" w:cs="Times New Roman"/>
          <w:sz w:val="24"/>
          <w:szCs w:val="24"/>
        </w:rPr>
        <w:t>6</w:t>
      </w:r>
      <w:r w:rsidRPr="00D219D1">
        <w:rPr>
          <w:rFonts w:ascii="Times New Roman" w:hAnsi="Times New Roman" w:cs="Times New Roman"/>
          <w:sz w:val="24"/>
          <w:szCs w:val="24"/>
        </w:rPr>
        <w:t xml:space="preserve">. godini se očekuje prijenos sredstava na izvoru 51 u nominalnom iznosu </w:t>
      </w:r>
      <w:r w:rsidR="00E835DA">
        <w:rPr>
          <w:rFonts w:ascii="Times New Roman" w:hAnsi="Times New Roman" w:cs="Times New Roman"/>
          <w:sz w:val="24"/>
          <w:szCs w:val="24"/>
        </w:rPr>
        <w:t>3.620.765</w:t>
      </w:r>
      <w:r w:rsidRPr="00D219D1">
        <w:rPr>
          <w:rFonts w:ascii="Times New Roman" w:hAnsi="Times New Roman" w:cs="Times New Roman"/>
          <w:sz w:val="24"/>
          <w:szCs w:val="24"/>
        </w:rPr>
        <w:t xml:space="preserve"> EUR. Veći dio sredstava se odnosi na predfinaciranje  za projekt “Uspostava Nacionalnog koordinacijskog središta za industriju, tehnologiju i istraživanja u području kibernetičke sigurnosti“  gdje </w:t>
      </w:r>
      <w:r w:rsidR="00C3286F">
        <w:rPr>
          <w:rFonts w:ascii="Times New Roman" w:hAnsi="Times New Roman" w:cs="Times New Roman"/>
          <w:sz w:val="24"/>
          <w:szCs w:val="24"/>
        </w:rPr>
        <w:t>su sredtav uplaćena</w:t>
      </w:r>
      <w:r w:rsidRPr="00D219D1">
        <w:rPr>
          <w:rFonts w:ascii="Times New Roman" w:hAnsi="Times New Roman" w:cs="Times New Roman"/>
          <w:sz w:val="24"/>
          <w:szCs w:val="24"/>
        </w:rPr>
        <w:t xml:space="preserve"> u 2025.</w:t>
      </w:r>
      <w:r w:rsidR="00C3286F">
        <w:rPr>
          <w:rFonts w:ascii="Times New Roman" w:hAnsi="Times New Roman" w:cs="Times New Roman"/>
          <w:sz w:val="24"/>
          <w:szCs w:val="24"/>
        </w:rPr>
        <w:t xml:space="preserve"> godini,</w:t>
      </w:r>
      <w:r w:rsidRPr="00D219D1">
        <w:rPr>
          <w:rFonts w:ascii="Times New Roman" w:hAnsi="Times New Roman" w:cs="Times New Roman"/>
          <w:sz w:val="24"/>
          <w:szCs w:val="24"/>
        </w:rPr>
        <w:t xml:space="preserve"> a rashodi projekta </w:t>
      </w:r>
      <w:r w:rsidR="00C3286F">
        <w:rPr>
          <w:rFonts w:ascii="Times New Roman" w:hAnsi="Times New Roman" w:cs="Times New Roman"/>
          <w:sz w:val="24"/>
          <w:szCs w:val="24"/>
        </w:rPr>
        <w:t>su</w:t>
      </w:r>
      <w:r w:rsidRPr="00D219D1">
        <w:rPr>
          <w:rFonts w:ascii="Times New Roman" w:hAnsi="Times New Roman" w:cs="Times New Roman"/>
          <w:sz w:val="24"/>
          <w:szCs w:val="24"/>
        </w:rPr>
        <w:t xml:space="preserve"> u 2026.</w:t>
      </w:r>
      <w:r w:rsidR="00C3286F">
        <w:rPr>
          <w:rFonts w:ascii="Times New Roman" w:hAnsi="Times New Roman" w:cs="Times New Roman"/>
          <w:sz w:val="24"/>
          <w:szCs w:val="24"/>
        </w:rPr>
        <w:t xml:space="preserve">, </w:t>
      </w:r>
      <w:r w:rsidRPr="00D219D1">
        <w:rPr>
          <w:rFonts w:ascii="Times New Roman" w:hAnsi="Times New Roman" w:cs="Times New Roman"/>
          <w:sz w:val="24"/>
          <w:szCs w:val="24"/>
        </w:rPr>
        <w:t>2027.</w:t>
      </w:r>
      <w:r w:rsidR="00C3286F">
        <w:rPr>
          <w:rFonts w:ascii="Times New Roman" w:hAnsi="Times New Roman" w:cs="Times New Roman"/>
          <w:sz w:val="24"/>
          <w:szCs w:val="24"/>
        </w:rPr>
        <w:t xml:space="preserve"> i 2028.</w:t>
      </w:r>
      <w:r w:rsidRPr="00D219D1">
        <w:rPr>
          <w:rFonts w:ascii="Times New Roman" w:hAnsi="Times New Roman" w:cs="Times New Roman"/>
          <w:sz w:val="24"/>
          <w:szCs w:val="24"/>
        </w:rPr>
        <w:t xml:space="preserve"> godini.</w:t>
      </w:r>
    </w:p>
    <w:p w14:paraId="68A94639" w14:textId="77777777" w:rsidR="0045409E" w:rsidRPr="00D83F1C" w:rsidRDefault="0045409E" w:rsidP="001E0AE3">
      <w:pPr>
        <w:pStyle w:val="ListParagraph"/>
        <w:jc w:val="both"/>
        <w:rPr>
          <w:rFonts w:ascii="Times New Roman" w:hAnsi="Times New Roman" w:cs="Times New Roman"/>
          <w:sz w:val="24"/>
          <w:szCs w:val="24"/>
          <w:highlight w:val="green"/>
        </w:rPr>
      </w:pPr>
    </w:p>
    <w:p w14:paraId="0D9BB71B" w14:textId="77777777" w:rsidR="00C3286F" w:rsidRDefault="00C3286F" w:rsidP="00C3286F">
      <w:pPr>
        <w:pStyle w:val="ListParagraph"/>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Ostatak </w:t>
      </w:r>
      <w:r w:rsidR="0045409E" w:rsidRPr="00D219D1">
        <w:rPr>
          <w:rFonts w:ascii="Times New Roman" w:hAnsi="Times New Roman" w:cs="Times New Roman"/>
          <w:sz w:val="24"/>
          <w:szCs w:val="24"/>
        </w:rPr>
        <w:t>neutrošenih sredstava na izvoru 5</w:t>
      </w:r>
      <w:r>
        <w:rPr>
          <w:rFonts w:ascii="Times New Roman" w:hAnsi="Times New Roman" w:cs="Times New Roman"/>
          <w:sz w:val="24"/>
          <w:szCs w:val="24"/>
        </w:rPr>
        <w:t>1</w:t>
      </w:r>
      <w:r w:rsidR="0045409E" w:rsidRPr="00D219D1">
        <w:rPr>
          <w:rFonts w:ascii="Times New Roman" w:hAnsi="Times New Roman" w:cs="Times New Roman"/>
          <w:sz w:val="24"/>
          <w:szCs w:val="24"/>
        </w:rPr>
        <w:t xml:space="preserve"> odnosi se na</w:t>
      </w:r>
      <w:r>
        <w:rPr>
          <w:rFonts w:ascii="Times New Roman" w:hAnsi="Times New Roman" w:cs="Times New Roman"/>
          <w:sz w:val="24"/>
          <w:szCs w:val="24"/>
        </w:rPr>
        <w:t>:</w:t>
      </w:r>
    </w:p>
    <w:p w14:paraId="07379AB3" w14:textId="77777777" w:rsidR="00792B90" w:rsidRDefault="00792B90" w:rsidP="00C3286F">
      <w:pPr>
        <w:pStyle w:val="ListParagraph"/>
        <w:spacing w:line="240" w:lineRule="auto"/>
        <w:jc w:val="both"/>
        <w:rPr>
          <w:rFonts w:ascii="Times New Roman" w:hAnsi="Times New Roman" w:cs="Times New Roman"/>
          <w:sz w:val="24"/>
          <w:szCs w:val="24"/>
        </w:rPr>
      </w:pPr>
    </w:p>
    <w:p w14:paraId="4EB81ADF" w14:textId="2145D2C2" w:rsidR="00792B90" w:rsidRDefault="00792B90" w:rsidP="00792B90">
      <w:pPr>
        <w:pStyle w:val="ListParagraph"/>
        <w:jc w:val="both"/>
        <w:rPr>
          <w:rFonts w:ascii="Times New Roman" w:hAnsi="Times New Roman" w:cs="Times New Roman"/>
          <w:bCs/>
          <w:sz w:val="24"/>
          <w:szCs w:val="24"/>
          <w:lang w:val="en-US"/>
        </w:rPr>
      </w:pPr>
      <w:r>
        <w:rPr>
          <w:rFonts w:ascii="Times New Roman" w:hAnsi="Times New Roman" w:cs="Times New Roman"/>
          <w:sz w:val="24"/>
          <w:szCs w:val="24"/>
        </w:rPr>
        <w:t xml:space="preserve">- </w:t>
      </w:r>
      <w:r>
        <w:rPr>
          <w:rFonts w:ascii="Times New Roman" w:hAnsi="Times New Roman" w:cs="Times New Roman"/>
          <w:bCs/>
          <w:sz w:val="24"/>
          <w:szCs w:val="24"/>
        </w:rPr>
        <w:t>projekt „</w:t>
      </w:r>
      <w:r w:rsidRPr="00172181">
        <w:rPr>
          <w:rFonts w:ascii="Times New Roman" w:hAnsi="Times New Roman" w:cs="Times New Roman"/>
          <w:bCs/>
          <w:sz w:val="24"/>
          <w:szCs w:val="24"/>
          <w:lang w:val="en-US"/>
        </w:rPr>
        <w:t>Uspostava Nacionalnog koordinacijskog središta za industriju, tehnologiju i istraživanja u području kibernetičke sigurnosti</w:t>
      </w:r>
      <w:r>
        <w:rPr>
          <w:rFonts w:ascii="Times New Roman" w:hAnsi="Times New Roman" w:cs="Times New Roman"/>
          <w:bCs/>
          <w:sz w:val="24"/>
          <w:szCs w:val="24"/>
          <w:lang w:val="en-US"/>
        </w:rPr>
        <w:t>”</w:t>
      </w:r>
      <w:r>
        <w:rPr>
          <w:rFonts w:ascii="Times New Roman" w:hAnsi="Times New Roman" w:cs="Times New Roman"/>
          <w:bCs/>
          <w:sz w:val="24"/>
          <w:szCs w:val="24"/>
          <w:lang w:val="en-US"/>
        </w:rPr>
        <w:t xml:space="preserve"> koji za cilj ima </w:t>
      </w:r>
      <w:r w:rsidRPr="00172181">
        <w:rPr>
          <w:rFonts w:ascii="Times New Roman" w:hAnsi="Times New Roman" w:cs="Times New Roman"/>
          <w:bCs/>
          <w:sz w:val="24"/>
          <w:szCs w:val="24"/>
          <w:lang w:val="en-US"/>
        </w:rPr>
        <w:t>podržati razvoj Nacionalnog koordinacijskog središta za industriju, tehnologiju i istraživanja u području kibernetičke sigurnosti (NKS), koji će unutar Mreže nacionalnih centara za kibernetičku sigurnost doprinijeti ostvarenju ciljeva Europskog centra za kibernetičku sigurnost (ECCC) utjecanjem na usvajanje i širenje najnovijih rješenja za kibernetičku sigurnost te jačanjem nacionalnih kapaciteta i otpornosti na kibernetičke prijetnje. </w:t>
      </w:r>
    </w:p>
    <w:p w14:paraId="2037AE5A" w14:textId="71DBC172" w:rsidR="008B1A63" w:rsidRPr="008B1A63" w:rsidRDefault="008B1A63" w:rsidP="008B1A6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3286F" w:rsidRPr="008B1A63">
        <w:rPr>
          <w:rFonts w:ascii="Times New Roman" w:hAnsi="Times New Roman" w:cs="Times New Roman"/>
          <w:sz w:val="24"/>
          <w:szCs w:val="24"/>
        </w:rPr>
        <w:t xml:space="preserve"> - </w:t>
      </w:r>
      <w:r w:rsidR="0045409E" w:rsidRPr="008B1A63">
        <w:rPr>
          <w:rFonts w:ascii="Times New Roman" w:hAnsi="Times New Roman" w:cs="Times New Roman"/>
          <w:sz w:val="24"/>
          <w:szCs w:val="24"/>
        </w:rPr>
        <w:t xml:space="preserve"> predujam za Erasmus+ projekt koji traje do lipnja 2026. godine</w:t>
      </w:r>
    </w:p>
    <w:p w14:paraId="715E165F" w14:textId="4CA03E93" w:rsidR="008B1A63" w:rsidRDefault="008B1A63" w:rsidP="008B1A63">
      <w:pPr>
        <w:pStyle w:val="ListParagraph"/>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3286F">
        <w:rPr>
          <w:rFonts w:ascii="Times New Roman" w:hAnsi="Times New Roman" w:cs="Times New Roman"/>
          <w:sz w:val="24"/>
          <w:szCs w:val="24"/>
        </w:rPr>
        <w:t xml:space="preserve">projekt </w:t>
      </w:r>
      <w:r w:rsidR="0045409E" w:rsidRPr="00D219D1">
        <w:rPr>
          <w:rFonts w:ascii="Times New Roman" w:hAnsi="Times New Roman" w:cs="Times New Roman"/>
          <w:sz w:val="24"/>
          <w:szCs w:val="24"/>
        </w:rPr>
        <w:t xml:space="preserve"> GÉANT </w:t>
      </w:r>
      <w:r w:rsidR="00975FF7" w:rsidRPr="00D219D1">
        <w:rPr>
          <w:rFonts w:ascii="Times New Roman" w:hAnsi="Times New Roman" w:cs="Times New Roman"/>
          <w:sz w:val="24"/>
          <w:szCs w:val="24"/>
        </w:rPr>
        <w:t>5</w:t>
      </w:r>
      <w:r w:rsidR="0045409E" w:rsidRPr="00D219D1">
        <w:rPr>
          <w:rFonts w:ascii="Times New Roman" w:hAnsi="Times New Roman" w:cs="Times New Roman"/>
          <w:sz w:val="24"/>
          <w:szCs w:val="24"/>
        </w:rPr>
        <w:t>-</w:t>
      </w:r>
      <w:r w:rsidR="00975FF7" w:rsidRPr="00D219D1">
        <w:rPr>
          <w:rFonts w:ascii="Times New Roman" w:hAnsi="Times New Roman" w:cs="Times New Roman"/>
          <w:sz w:val="24"/>
          <w:szCs w:val="24"/>
        </w:rPr>
        <w:t>1</w:t>
      </w:r>
      <w:r w:rsidR="0045409E" w:rsidRPr="00D219D1">
        <w:rPr>
          <w:rFonts w:ascii="Times New Roman" w:hAnsi="Times New Roman" w:cs="Times New Roman"/>
          <w:sz w:val="24"/>
          <w:szCs w:val="24"/>
        </w:rPr>
        <w:t xml:space="preserve"> koji predstavlja organizaciju 37 europskih akademskih i istraživačkih mreža (National Research and Education Network, NREN) te NORDUNet (predstavnik 5 nordijskih NREN-ova). Neutrošena sredstva se prenose iz godine u godinu sukladno stvarno nastalim troškovima vezanim za provedbu projekta. Sredstva </w:t>
      </w:r>
      <w:r w:rsidR="0045409E" w:rsidRPr="00D219D1">
        <w:rPr>
          <w:rFonts w:ascii="Times New Roman" w:hAnsi="Times New Roman" w:cs="Times New Roman"/>
          <w:sz w:val="24"/>
          <w:szCs w:val="24"/>
        </w:rPr>
        <w:lastRenderedPageBreak/>
        <w:t>će se potrošiti u skladu sa stavkama unutar predanog financijskog plana za razdoblje 202</w:t>
      </w:r>
      <w:r w:rsidR="00C3286F">
        <w:rPr>
          <w:rFonts w:ascii="Times New Roman" w:hAnsi="Times New Roman" w:cs="Times New Roman"/>
          <w:sz w:val="24"/>
          <w:szCs w:val="24"/>
        </w:rPr>
        <w:t>6</w:t>
      </w:r>
      <w:r w:rsidR="0045409E" w:rsidRPr="00D219D1">
        <w:rPr>
          <w:rFonts w:ascii="Times New Roman" w:hAnsi="Times New Roman" w:cs="Times New Roman"/>
          <w:sz w:val="24"/>
          <w:szCs w:val="24"/>
        </w:rPr>
        <w:t>. -202</w:t>
      </w:r>
      <w:r w:rsidR="00C3286F">
        <w:rPr>
          <w:rFonts w:ascii="Times New Roman" w:hAnsi="Times New Roman" w:cs="Times New Roman"/>
          <w:sz w:val="24"/>
          <w:szCs w:val="24"/>
        </w:rPr>
        <w:t>8</w:t>
      </w:r>
      <w:r w:rsidR="0045409E" w:rsidRPr="00D219D1">
        <w:rPr>
          <w:rFonts w:ascii="Times New Roman" w:hAnsi="Times New Roman" w:cs="Times New Roman"/>
          <w:sz w:val="24"/>
          <w:szCs w:val="24"/>
        </w:rPr>
        <w:t>.</w:t>
      </w:r>
    </w:p>
    <w:p w14:paraId="4C0ED97C" w14:textId="77777777" w:rsidR="008B1A63" w:rsidRDefault="008B1A63" w:rsidP="008B1A63">
      <w:pPr>
        <w:pStyle w:val="ListParagraph"/>
        <w:spacing w:line="240" w:lineRule="auto"/>
        <w:jc w:val="both"/>
        <w:rPr>
          <w:rFonts w:ascii="Times New Roman" w:hAnsi="Times New Roman" w:cs="Times New Roman"/>
          <w:sz w:val="24"/>
          <w:szCs w:val="24"/>
        </w:rPr>
      </w:pPr>
    </w:p>
    <w:p w14:paraId="5D908943" w14:textId="6283E0AD" w:rsidR="008B1A63" w:rsidRDefault="008B1A63" w:rsidP="008B1A63">
      <w:pPr>
        <w:pStyle w:val="ListParagraph"/>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projekt AISE koji </w:t>
      </w:r>
      <w:r w:rsidRPr="008B1A63">
        <w:rPr>
          <w:rFonts w:ascii="Times New Roman" w:hAnsi="Times New Roman" w:cs="Times New Roman"/>
          <w:sz w:val="24"/>
          <w:szCs w:val="24"/>
        </w:rPr>
        <w:t>ima za cilj razviti i implementirati naprednu platformu u oblaku, temeljenu na umjetnoj inteligenciji, koja omogućuje prikupljanje, obradu i analizu nestrukturiranih obrazovnih podataka (npr. eseji, upitnici, domaće zadaće) s ciljem procjene uspješnosti učenika i unapređenja nastavnih procesa u srednjoškolskom obrazovanju</w:t>
      </w:r>
      <w:r>
        <w:rPr>
          <w:rFonts w:ascii="Times New Roman" w:hAnsi="Times New Roman" w:cs="Times New Roman"/>
          <w:sz w:val="24"/>
          <w:szCs w:val="24"/>
        </w:rPr>
        <w:t>, projekt traje do kraja 2026. godine</w:t>
      </w:r>
    </w:p>
    <w:p w14:paraId="350A6A4B" w14:textId="77777777" w:rsidR="008B1A63" w:rsidRDefault="008B1A63" w:rsidP="008B1A63">
      <w:pPr>
        <w:pStyle w:val="ListParagraph"/>
        <w:spacing w:line="240" w:lineRule="auto"/>
        <w:jc w:val="both"/>
        <w:rPr>
          <w:rFonts w:ascii="Times New Roman" w:hAnsi="Times New Roman" w:cs="Times New Roman"/>
          <w:sz w:val="24"/>
          <w:szCs w:val="24"/>
        </w:rPr>
      </w:pPr>
    </w:p>
    <w:p w14:paraId="1043F756" w14:textId="03452A07" w:rsidR="008B1A63" w:rsidRPr="008B1A63" w:rsidRDefault="008B1A63" w:rsidP="008B1A63">
      <w:pPr>
        <w:pStyle w:val="ListParagraph"/>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projekt CroQCI čiji je cilj </w:t>
      </w:r>
      <w:r w:rsidRPr="008B1A63">
        <w:rPr>
          <w:rFonts w:ascii="Times New Roman" w:hAnsi="Times New Roman" w:cs="Times New Roman"/>
          <w:sz w:val="24"/>
          <w:szCs w:val="24"/>
        </w:rPr>
        <w:t>implementacija eksperimentalnih kvantnih komunikacijskih sustava i mreže, nadopunjenih i integriranih s rasponom klasičnih sigurnih komunikacijskih tehnologija</w:t>
      </w:r>
      <w:r>
        <w:rPr>
          <w:rFonts w:ascii="Times New Roman" w:hAnsi="Times New Roman" w:cs="Times New Roman"/>
          <w:sz w:val="24"/>
          <w:szCs w:val="24"/>
        </w:rPr>
        <w:t xml:space="preserve">, </w:t>
      </w:r>
      <w:r w:rsidR="008C0F45">
        <w:rPr>
          <w:rFonts w:ascii="Times New Roman" w:hAnsi="Times New Roman" w:cs="Times New Roman"/>
          <w:sz w:val="24"/>
          <w:szCs w:val="24"/>
        </w:rPr>
        <w:t>projekt traje do polovice 2026. godine, te se u toj godini očekuje zadnja uplata</w:t>
      </w:r>
    </w:p>
    <w:p w14:paraId="7F4F506F" w14:textId="77777777" w:rsidR="00D2741E" w:rsidRPr="0009133B" w:rsidRDefault="00D2741E" w:rsidP="001E0AE3">
      <w:pPr>
        <w:spacing w:line="240" w:lineRule="auto"/>
        <w:jc w:val="both"/>
        <w:rPr>
          <w:rFonts w:ascii="Times New Roman" w:hAnsi="Times New Roman" w:cs="Times New Roman"/>
          <w:sz w:val="24"/>
          <w:szCs w:val="24"/>
          <w:highlight w:val="yellow"/>
        </w:rPr>
      </w:pPr>
    </w:p>
    <w:p w14:paraId="55B92954" w14:textId="77777777" w:rsidR="0045409E" w:rsidRPr="00D2741E" w:rsidRDefault="0045409E" w:rsidP="001E0AE3">
      <w:pPr>
        <w:spacing w:line="240" w:lineRule="auto"/>
        <w:jc w:val="both"/>
        <w:rPr>
          <w:rFonts w:ascii="Times New Roman" w:hAnsi="Times New Roman" w:cs="Times New Roman"/>
          <w:b/>
          <w:sz w:val="24"/>
          <w:szCs w:val="24"/>
        </w:rPr>
      </w:pPr>
      <w:bookmarkStart w:id="1" w:name="_Hlk155772695"/>
      <w:r w:rsidRPr="00D2741E">
        <w:rPr>
          <w:rFonts w:ascii="Times New Roman" w:hAnsi="Times New Roman" w:cs="Times New Roman"/>
          <w:b/>
          <w:sz w:val="24"/>
          <w:szCs w:val="24"/>
        </w:rPr>
        <w:t>UKUPNE I DOSPJELE OBVEZE</w:t>
      </w:r>
    </w:p>
    <w:p w14:paraId="3B734DF0" w14:textId="77777777" w:rsidR="0045409E" w:rsidRPr="00D2741E" w:rsidRDefault="0045409E" w:rsidP="001E0AE3">
      <w:pPr>
        <w:spacing w:line="240" w:lineRule="auto"/>
        <w:jc w:val="both"/>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1838"/>
        <w:gridCol w:w="3544"/>
        <w:gridCol w:w="3680"/>
      </w:tblGrid>
      <w:tr w:rsidR="0045409E" w:rsidRPr="00D2741E" w14:paraId="61815189" w14:textId="77777777" w:rsidTr="004E0427">
        <w:tc>
          <w:tcPr>
            <w:tcW w:w="1838" w:type="dxa"/>
          </w:tcPr>
          <w:p w14:paraId="5181C288" w14:textId="77777777" w:rsidR="0045409E" w:rsidRPr="00D2741E" w:rsidRDefault="0045409E" w:rsidP="001E0AE3">
            <w:pPr>
              <w:jc w:val="both"/>
              <w:rPr>
                <w:rFonts w:ascii="Times New Roman" w:hAnsi="Times New Roman" w:cs="Times New Roman"/>
                <w:sz w:val="24"/>
                <w:szCs w:val="24"/>
              </w:rPr>
            </w:pPr>
          </w:p>
        </w:tc>
        <w:tc>
          <w:tcPr>
            <w:tcW w:w="3544" w:type="dxa"/>
          </w:tcPr>
          <w:p w14:paraId="7A10CD25" w14:textId="305A8903" w:rsidR="0045409E" w:rsidRPr="00D2741E" w:rsidRDefault="0045409E" w:rsidP="001E0AE3">
            <w:pPr>
              <w:jc w:val="both"/>
              <w:rPr>
                <w:rFonts w:ascii="Times New Roman" w:hAnsi="Times New Roman" w:cs="Times New Roman"/>
                <w:sz w:val="24"/>
                <w:szCs w:val="24"/>
              </w:rPr>
            </w:pPr>
            <w:r w:rsidRPr="00D2741E">
              <w:rPr>
                <w:rFonts w:ascii="Times New Roman" w:hAnsi="Times New Roman" w:cs="Times New Roman"/>
                <w:sz w:val="24"/>
                <w:szCs w:val="24"/>
              </w:rPr>
              <w:t>Stanje obveza na dan 31.12.202</w:t>
            </w:r>
            <w:r w:rsidR="00631423" w:rsidRPr="00D2741E">
              <w:rPr>
                <w:rFonts w:ascii="Times New Roman" w:hAnsi="Times New Roman" w:cs="Times New Roman"/>
                <w:sz w:val="24"/>
                <w:szCs w:val="24"/>
              </w:rPr>
              <w:t>4</w:t>
            </w:r>
            <w:r w:rsidRPr="00D2741E">
              <w:rPr>
                <w:rFonts w:ascii="Times New Roman" w:hAnsi="Times New Roman" w:cs="Times New Roman"/>
                <w:sz w:val="24"/>
                <w:szCs w:val="24"/>
              </w:rPr>
              <w:t>.</w:t>
            </w:r>
          </w:p>
        </w:tc>
        <w:tc>
          <w:tcPr>
            <w:tcW w:w="3680" w:type="dxa"/>
          </w:tcPr>
          <w:p w14:paraId="719AFA4D" w14:textId="68F2DDE5" w:rsidR="0045409E" w:rsidRPr="00D2741E" w:rsidRDefault="0045409E" w:rsidP="001E0AE3">
            <w:pPr>
              <w:jc w:val="both"/>
              <w:rPr>
                <w:rFonts w:ascii="Times New Roman" w:hAnsi="Times New Roman" w:cs="Times New Roman"/>
                <w:sz w:val="24"/>
                <w:szCs w:val="24"/>
              </w:rPr>
            </w:pPr>
            <w:r w:rsidRPr="00D2741E">
              <w:rPr>
                <w:rFonts w:ascii="Times New Roman" w:hAnsi="Times New Roman" w:cs="Times New Roman"/>
                <w:sz w:val="24"/>
                <w:szCs w:val="24"/>
              </w:rPr>
              <w:t>Stanje obveza na dan 30.06.202</w:t>
            </w:r>
            <w:r w:rsidR="00631423" w:rsidRPr="00D2741E">
              <w:rPr>
                <w:rFonts w:ascii="Times New Roman" w:hAnsi="Times New Roman" w:cs="Times New Roman"/>
                <w:sz w:val="24"/>
                <w:szCs w:val="24"/>
              </w:rPr>
              <w:t>5</w:t>
            </w:r>
            <w:r w:rsidRPr="00D2741E">
              <w:rPr>
                <w:rFonts w:ascii="Times New Roman" w:hAnsi="Times New Roman" w:cs="Times New Roman"/>
                <w:sz w:val="24"/>
                <w:szCs w:val="24"/>
              </w:rPr>
              <w:t>.</w:t>
            </w:r>
          </w:p>
        </w:tc>
      </w:tr>
      <w:tr w:rsidR="0045409E" w:rsidRPr="00D2741E" w14:paraId="713B843D" w14:textId="77777777" w:rsidTr="004E0427">
        <w:tc>
          <w:tcPr>
            <w:tcW w:w="1838" w:type="dxa"/>
          </w:tcPr>
          <w:p w14:paraId="3921CE76" w14:textId="77777777" w:rsidR="0045409E" w:rsidRPr="00D2741E" w:rsidRDefault="0045409E" w:rsidP="001E0AE3">
            <w:pPr>
              <w:jc w:val="both"/>
              <w:rPr>
                <w:rFonts w:ascii="Times New Roman" w:hAnsi="Times New Roman" w:cs="Times New Roman"/>
                <w:sz w:val="24"/>
                <w:szCs w:val="24"/>
              </w:rPr>
            </w:pPr>
            <w:r w:rsidRPr="00D2741E">
              <w:rPr>
                <w:rFonts w:ascii="Times New Roman" w:hAnsi="Times New Roman" w:cs="Times New Roman"/>
                <w:sz w:val="24"/>
                <w:szCs w:val="24"/>
              </w:rPr>
              <w:t>Ukupne obveze</w:t>
            </w:r>
          </w:p>
        </w:tc>
        <w:tc>
          <w:tcPr>
            <w:tcW w:w="3544" w:type="dxa"/>
          </w:tcPr>
          <w:p w14:paraId="60FA489A" w14:textId="01F6D6B0" w:rsidR="0045409E" w:rsidRPr="00D2741E" w:rsidRDefault="00631423" w:rsidP="001E0AE3">
            <w:pPr>
              <w:jc w:val="both"/>
              <w:rPr>
                <w:rFonts w:ascii="Times New Roman" w:hAnsi="Times New Roman" w:cs="Times New Roman"/>
                <w:sz w:val="24"/>
                <w:szCs w:val="24"/>
              </w:rPr>
            </w:pPr>
            <w:r w:rsidRPr="00D2741E">
              <w:rPr>
                <w:rFonts w:ascii="Times New Roman" w:hAnsi="Times New Roman" w:cs="Times New Roman"/>
                <w:sz w:val="24"/>
                <w:szCs w:val="24"/>
              </w:rPr>
              <w:t>7.316.300,58</w:t>
            </w:r>
            <w:r w:rsidR="0045409E" w:rsidRPr="00D2741E">
              <w:rPr>
                <w:rFonts w:ascii="Times New Roman" w:hAnsi="Times New Roman" w:cs="Times New Roman"/>
                <w:sz w:val="24"/>
                <w:szCs w:val="24"/>
              </w:rPr>
              <w:t xml:space="preserve"> EUR</w:t>
            </w:r>
          </w:p>
        </w:tc>
        <w:tc>
          <w:tcPr>
            <w:tcW w:w="3680" w:type="dxa"/>
          </w:tcPr>
          <w:p w14:paraId="7CC01D93" w14:textId="26CC2A80" w:rsidR="0045409E" w:rsidRPr="00D2741E" w:rsidRDefault="00D46FE7" w:rsidP="001E0AE3">
            <w:pPr>
              <w:jc w:val="both"/>
              <w:rPr>
                <w:rFonts w:ascii="Times New Roman" w:hAnsi="Times New Roman" w:cs="Times New Roman"/>
                <w:sz w:val="24"/>
                <w:szCs w:val="24"/>
              </w:rPr>
            </w:pPr>
            <w:r w:rsidRPr="00D2741E">
              <w:rPr>
                <w:rFonts w:ascii="Times New Roman" w:hAnsi="Times New Roman" w:cs="Times New Roman"/>
                <w:sz w:val="24"/>
                <w:szCs w:val="24"/>
              </w:rPr>
              <w:t xml:space="preserve">2.413.513, 54 </w:t>
            </w:r>
            <w:r w:rsidR="0045409E" w:rsidRPr="00D2741E">
              <w:rPr>
                <w:rFonts w:ascii="Times New Roman" w:hAnsi="Times New Roman" w:cs="Times New Roman"/>
                <w:sz w:val="24"/>
                <w:szCs w:val="24"/>
              </w:rPr>
              <w:t>EUR</w:t>
            </w:r>
          </w:p>
        </w:tc>
      </w:tr>
      <w:tr w:rsidR="0045409E" w:rsidRPr="00D219D1" w14:paraId="2137F4A8" w14:textId="77777777" w:rsidTr="004E0427">
        <w:tc>
          <w:tcPr>
            <w:tcW w:w="1838" w:type="dxa"/>
          </w:tcPr>
          <w:p w14:paraId="134D1179" w14:textId="77777777" w:rsidR="0045409E" w:rsidRPr="00D2741E" w:rsidRDefault="0045409E" w:rsidP="001E0AE3">
            <w:pPr>
              <w:jc w:val="both"/>
              <w:rPr>
                <w:rFonts w:ascii="Times New Roman" w:hAnsi="Times New Roman" w:cs="Times New Roman"/>
                <w:sz w:val="24"/>
                <w:szCs w:val="24"/>
              </w:rPr>
            </w:pPr>
            <w:r w:rsidRPr="00D2741E">
              <w:rPr>
                <w:rFonts w:ascii="Times New Roman" w:hAnsi="Times New Roman" w:cs="Times New Roman"/>
                <w:sz w:val="24"/>
                <w:szCs w:val="24"/>
              </w:rPr>
              <w:t>Dospjele obveze</w:t>
            </w:r>
          </w:p>
        </w:tc>
        <w:tc>
          <w:tcPr>
            <w:tcW w:w="3544" w:type="dxa"/>
          </w:tcPr>
          <w:p w14:paraId="0EA4056F" w14:textId="22CFC88A" w:rsidR="0045409E" w:rsidRPr="00D2741E" w:rsidRDefault="0045409E" w:rsidP="001E0AE3">
            <w:pPr>
              <w:jc w:val="both"/>
              <w:rPr>
                <w:rFonts w:ascii="Times New Roman" w:hAnsi="Times New Roman" w:cs="Times New Roman"/>
                <w:sz w:val="24"/>
                <w:szCs w:val="24"/>
              </w:rPr>
            </w:pPr>
            <w:r w:rsidRPr="00D2741E">
              <w:rPr>
                <w:rFonts w:ascii="Times New Roman" w:hAnsi="Times New Roman" w:cs="Times New Roman"/>
                <w:sz w:val="24"/>
                <w:szCs w:val="24"/>
              </w:rPr>
              <w:t>1</w:t>
            </w:r>
            <w:r w:rsidR="00631423" w:rsidRPr="00D2741E">
              <w:rPr>
                <w:rFonts w:ascii="Times New Roman" w:hAnsi="Times New Roman" w:cs="Times New Roman"/>
                <w:sz w:val="24"/>
                <w:szCs w:val="24"/>
              </w:rPr>
              <w:t>6.007,64</w:t>
            </w:r>
            <w:r w:rsidRPr="00D2741E">
              <w:rPr>
                <w:rFonts w:ascii="Times New Roman" w:hAnsi="Times New Roman" w:cs="Times New Roman"/>
                <w:sz w:val="24"/>
                <w:szCs w:val="24"/>
              </w:rPr>
              <w:t xml:space="preserve"> EUR</w:t>
            </w:r>
          </w:p>
        </w:tc>
        <w:tc>
          <w:tcPr>
            <w:tcW w:w="3680" w:type="dxa"/>
          </w:tcPr>
          <w:p w14:paraId="457128D3" w14:textId="55D492D4" w:rsidR="0045409E" w:rsidRPr="00D219D1" w:rsidRDefault="00D46FE7" w:rsidP="001E0AE3">
            <w:pPr>
              <w:jc w:val="both"/>
              <w:rPr>
                <w:rFonts w:ascii="Times New Roman" w:hAnsi="Times New Roman" w:cs="Times New Roman"/>
                <w:sz w:val="24"/>
                <w:szCs w:val="24"/>
              </w:rPr>
            </w:pPr>
            <w:r w:rsidRPr="00D2741E">
              <w:rPr>
                <w:rFonts w:ascii="Times New Roman" w:hAnsi="Times New Roman" w:cs="Times New Roman"/>
                <w:sz w:val="24"/>
                <w:szCs w:val="24"/>
              </w:rPr>
              <w:t>544.928,90</w:t>
            </w:r>
            <w:r w:rsidR="0045409E" w:rsidRPr="00D2741E">
              <w:rPr>
                <w:rFonts w:ascii="Times New Roman" w:hAnsi="Times New Roman" w:cs="Times New Roman"/>
                <w:sz w:val="24"/>
                <w:szCs w:val="24"/>
              </w:rPr>
              <w:t xml:space="preserve"> EUR</w:t>
            </w:r>
          </w:p>
        </w:tc>
      </w:tr>
    </w:tbl>
    <w:p w14:paraId="7AB187E0" w14:textId="77777777" w:rsidR="0045409E" w:rsidRPr="00D219D1" w:rsidRDefault="0045409E" w:rsidP="00D2741E">
      <w:pPr>
        <w:spacing w:line="240" w:lineRule="auto"/>
        <w:jc w:val="both"/>
        <w:rPr>
          <w:rFonts w:ascii="Times New Roman" w:hAnsi="Times New Roman" w:cs="Times New Roman"/>
          <w:sz w:val="24"/>
          <w:szCs w:val="24"/>
        </w:rPr>
      </w:pPr>
    </w:p>
    <w:bookmarkEnd w:id="1"/>
    <w:sectPr w:rsidR="0045409E" w:rsidRPr="00D219D1" w:rsidSect="008854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D64EF9"/>
    <w:multiLevelType w:val="hybridMultilevel"/>
    <w:tmpl w:val="10806166"/>
    <w:lvl w:ilvl="0" w:tplc="801C3A0A">
      <w:start w:val="33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42D44B9"/>
    <w:multiLevelType w:val="hybridMultilevel"/>
    <w:tmpl w:val="59AED466"/>
    <w:lvl w:ilvl="0" w:tplc="966672BE">
      <w:start w:val="58"/>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2612477E"/>
    <w:multiLevelType w:val="multilevel"/>
    <w:tmpl w:val="04742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74D6FC8"/>
    <w:multiLevelType w:val="hybridMultilevel"/>
    <w:tmpl w:val="8DD83D5C"/>
    <w:lvl w:ilvl="0" w:tplc="A134F49C">
      <w:start w:val="33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87793071">
    <w:abstractNumId w:val="1"/>
  </w:num>
  <w:num w:numId="2" w16cid:durableId="1386297799">
    <w:abstractNumId w:val="3"/>
  </w:num>
  <w:num w:numId="3" w16cid:durableId="1126894673">
    <w:abstractNumId w:val="0"/>
  </w:num>
  <w:num w:numId="4" w16cid:durableId="2959929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A1C"/>
    <w:rsid w:val="000077A4"/>
    <w:rsid w:val="000208E2"/>
    <w:rsid w:val="000218EC"/>
    <w:rsid w:val="00023EB1"/>
    <w:rsid w:val="00036723"/>
    <w:rsid w:val="000550D6"/>
    <w:rsid w:val="00071E7E"/>
    <w:rsid w:val="0009133B"/>
    <w:rsid w:val="00093AE4"/>
    <w:rsid w:val="0009463D"/>
    <w:rsid w:val="000A1A2E"/>
    <w:rsid w:val="000C402D"/>
    <w:rsid w:val="000C404F"/>
    <w:rsid w:val="000C5951"/>
    <w:rsid w:val="000D0A1C"/>
    <w:rsid w:val="000D1BA9"/>
    <w:rsid w:val="00125EBE"/>
    <w:rsid w:val="00141198"/>
    <w:rsid w:val="00143083"/>
    <w:rsid w:val="00143A47"/>
    <w:rsid w:val="00144C91"/>
    <w:rsid w:val="00146740"/>
    <w:rsid w:val="00160948"/>
    <w:rsid w:val="00172181"/>
    <w:rsid w:val="00186B7B"/>
    <w:rsid w:val="00195123"/>
    <w:rsid w:val="001B1BC0"/>
    <w:rsid w:val="001C1792"/>
    <w:rsid w:val="001C1833"/>
    <w:rsid w:val="001C60BC"/>
    <w:rsid w:val="001D72D4"/>
    <w:rsid w:val="001E0AE3"/>
    <w:rsid w:val="001F0898"/>
    <w:rsid w:val="002000CF"/>
    <w:rsid w:val="00211F04"/>
    <w:rsid w:val="00214B14"/>
    <w:rsid w:val="002239CA"/>
    <w:rsid w:val="00230B51"/>
    <w:rsid w:val="002320A1"/>
    <w:rsid w:val="00245B1D"/>
    <w:rsid w:val="00260E57"/>
    <w:rsid w:val="00260F96"/>
    <w:rsid w:val="00292D10"/>
    <w:rsid w:val="0029735D"/>
    <w:rsid w:val="00297F7A"/>
    <w:rsid w:val="002A0508"/>
    <w:rsid w:val="002A236E"/>
    <w:rsid w:val="002A2BFD"/>
    <w:rsid w:val="002A365A"/>
    <w:rsid w:val="002B451A"/>
    <w:rsid w:val="002B4CBD"/>
    <w:rsid w:val="002C4378"/>
    <w:rsid w:val="002D62CF"/>
    <w:rsid w:val="002F0635"/>
    <w:rsid w:val="00325AC1"/>
    <w:rsid w:val="0036314C"/>
    <w:rsid w:val="003902D3"/>
    <w:rsid w:val="003A22DB"/>
    <w:rsid w:val="003A43B4"/>
    <w:rsid w:val="003B1028"/>
    <w:rsid w:val="003F25CC"/>
    <w:rsid w:val="00407290"/>
    <w:rsid w:val="00412978"/>
    <w:rsid w:val="00446B23"/>
    <w:rsid w:val="0045409E"/>
    <w:rsid w:val="00466878"/>
    <w:rsid w:val="004A6E13"/>
    <w:rsid w:val="004B0E96"/>
    <w:rsid w:val="004B3E63"/>
    <w:rsid w:val="004C53BF"/>
    <w:rsid w:val="004D21F8"/>
    <w:rsid w:val="004E428E"/>
    <w:rsid w:val="00542D06"/>
    <w:rsid w:val="00542F6D"/>
    <w:rsid w:val="005722A3"/>
    <w:rsid w:val="005813A9"/>
    <w:rsid w:val="005852F7"/>
    <w:rsid w:val="005C1418"/>
    <w:rsid w:val="005D0CE2"/>
    <w:rsid w:val="005D56CF"/>
    <w:rsid w:val="005F2BA6"/>
    <w:rsid w:val="0060471E"/>
    <w:rsid w:val="00605080"/>
    <w:rsid w:val="00624C16"/>
    <w:rsid w:val="00624D07"/>
    <w:rsid w:val="00631423"/>
    <w:rsid w:val="00642BC1"/>
    <w:rsid w:val="00645ED7"/>
    <w:rsid w:val="00665B2C"/>
    <w:rsid w:val="00694CE2"/>
    <w:rsid w:val="006B7092"/>
    <w:rsid w:val="006D772B"/>
    <w:rsid w:val="006F3599"/>
    <w:rsid w:val="0071076D"/>
    <w:rsid w:val="0072334A"/>
    <w:rsid w:val="00727373"/>
    <w:rsid w:val="00736B18"/>
    <w:rsid w:val="00753082"/>
    <w:rsid w:val="00791446"/>
    <w:rsid w:val="00792B90"/>
    <w:rsid w:val="007F2269"/>
    <w:rsid w:val="008232A8"/>
    <w:rsid w:val="00825C69"/>
    <w:rsid w:val="00864BC0"/>
    <w:rsid w:val="00870EF5"/>
    <w:rsid w:val="00877D6F"/>
    <w:rsid w:val="0088265B"/>
    <w:rsid w:val="0088541C"/>
    <w:rsid w:val="00886D68"/>
    <w:rsid w:val="00887380"/>
    <w:rsid w:val="008A0BFA"/>
    <w:rsid w:val="008A5295"/>
    <w:rsid w:val="008B1A63"/>
    <w:rsid w:val="008B3391"/>
    <w:rsid w:val="008B77D6"/>
    <w:rsid w:val="008C0F45"/>
    <w:rsid w:val="008C63E0"/>
    <w:rsid w:val="008F2FEE"/>
    <w:rsid w:val="009175D9"/>
    <w:rsid w:val="0094274B"/>
    <w:rsid w:val="009509C0"/>
    <w:rsid w:val="00954967"/>
    <w:rsid w:val="009605A5"/>
    <w:rsid w:val="00967EA6"/>
    <w:rsid w:val="00975BA7"/>
    <w:rsid w:val="00975FF7"/>
    <w:rsid w:val="00986F2A"/>
    <w:rsid w:val="009927C7"/>
    <w:rsid w:val="00994F6E"/>
    <w:rsid w:val="009D4592"/>
    <w:rsid w:val="009D7CA0"/>
    <w:rsid w:val="009E41F0"/>
    <w:rsid w:val="00A02883"/>
    <w:rsid w:val="00A07B3C"/>
    <w:rsid w:val="00A2467F"/>
    <w:rsid w:val="00A32D09"/>
    <w:rsid w:val="00AB008F"/>
    <w:rsid w:val="00AC288F"/>
    <w:rsid w:val="00AD1D60"/>
    <w:rsid w:val="00AE2812"/>
    <w:rsid w:val="00B16B5B"/>
    <w:rsid w:val="00B31712"/>
    <w:rsid w:val="00B33A78"/>
    <w:rsid w:val="00B538CD"/>
    <w:rsid w:val="00B75D79"/>
    <w:rsid w:val="00B7793B"/>
    <w:rsid w:val="00B93CA6"/>
    <w:rsid w:val="00BB090A"/>
    <w:rsid w:val="00BB4C68"/>
    <w:rsid w:val="00BE5154"/>
    <w:rsid w:val="00BF44C6"/>
    <w:rsid w:val="00C057E6"/>
    <w:rsid w:val="00C05F57"/>
    <w:rsid w:val="00C12575"/>
    <w:rsid w:val="00C207E8"/>
    <w:rsid w:val="00C3286F"/>
    <w:rsid w:val="00C3694F"/>
    <w:rsid w:val="00C6669F"/>
    <w:rsid w:val="00C82DC6"/>
    <w:rsid w:val="00CA12E2"/>
    <w:rsid w:val="00CB0278"/>
    <w:rsid w:val="00CC04BC"/>
    <w:rsid w:val="00CD1B89"/>
    <w:rsid w:val="00CF4408"/>
    <w:rsid w:val="00D019AB"/>
    <w:rsid w:val="00D03592"/>
    <w:rsid w:val="00D219D1"/>
    <w:rsid w:val="00D2741E"/>
    <w:rsid w:val="00D35994"/>
    <w:rsid w:val="00D4553D"/>
    <w:rsid w:val="00D46FE7"/>
    <w:rsid w:val="00D6345B"/>
    <w:rsid w:val="00D7163B"/>
    <w:rsid w:val="00DC340A"/>
    <w:rsid w:val="00DD2586"/>
    <w:rsid w:val="00DD2E67"/>
    <w:rsid w:val="00DF778D"/>
    <w:rsid w:val="00E1687B"/>
    <w:rsid w:val="00E33766"/>
    <w:rsid w:val="00E34EA9"/>
    <w:rsid w:val="00E53756"/>
    <w:rsid w:val="00E55A8F"/>
    <w:rsid w:val="00E612A5"/>
    <w:rsid w:val="00E65474"/>
    <w:rsid w:val="00E703E6"/>
    <w:rsid w:val="00E70DC0"/>
    <w:rsid w:val="00E74D93"/>
    <w:rsid w:val="00E835DA"/>
    <w:rsid w:val="00E93717"/>
    <w:rsid w:val="00E94D72"/>
    <w:rsid w:val="00ED6F0C"/>
    <w:rsid w:val="00ED78E9"/>
    <w:rsid w:val="00EE188B"/>
    <w:rsid w:val="00F1108A"/>
    <w:rsid w:val="00F152E4"/>
    <w:rsid w:val="00F16F67"/>
    <w:rsid w:val="00F30311"/>
    <w:rsid w:val="00F42794"/>
    <w:rsid w:val="00F471E7"/>
    <w:rsid w:val="00F70550"/>
    <w:rsid w:val="00F80B96"/>
    <w:rsid w:val="00FA0C4E"/>
    <w:rsid w:val="00FA38B5"/>
    <w:rsid w:val="00FC5F4A"/>
    <w:rsid w:val="00FC710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49B22B"/>
  <w15:chartTrackingRefBased/>
  <w15:docId w15:val="{1E9B1B47-3560-4932-BAAB-B450A5EED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FA0C4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9"/>
    <w:qFormat/>
    <w:rsid w:val="00E65474"/>
    <w:pPr>
      <w:keepNext/>
      <w:keepLines/>
      <w:widowControl w:val="0"/>
      <w:pBdr>
        <w:top w:val="single" w:sz="4" w:space="1" w:color="auto"/>
        <w:bottom w:val="single" w:sz="4" w:space="1" w:color="auto"/>
      </w:pBdr>
      <w:adjustRightInd w:val="0"/>
      <w:spacing w:after="120" w:line="240" w:lineRule="auto"/>
      <w:jc w:val="both"/>
      <w:textAlignment w:val="baseline"/>
      <w:outlineLvl w:val="3"/>
    </w:pPr>
    <w:rPr>
      <w:rFonts w:ascii="Times New Roman" w:eastAsia="Calibri" w:hAnsi="Times New Roman" w:cs="Times New Roman"/>
      <w:b/>
      <w:bCs/>
      <w:sz w:val="28"/>
      <w:szCs w:val="28"/>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7C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53082"/>
    <w:pPr>
      <w:ind w:left="720"/>
      <w:contextualSpacing/>
    </w:pPr>
  </w:style>
  <w:style w:type="character" w:customStyle="1" w:styleId="Heading4Char">
    <w:name w:val="Heading 4 Char"/>
    <w:basedOn w:val="DefaultParagraphFont"/>
    <w:link w:val="Heading4"/>
    <w:uiPriority w:val="99"/>
    <w:rsid w:val="00E65474"/>
    <w:rPr>
      <w:rFonts w:ascii="Times New Roman" w:eastAsia="Calibri" w:hAnsi="Times New Roman" w:cs="Times New Roman"/>
      <w:b/>
      <w:bCs/>
      <w:sz w:val="28"/>
      <w:szCs w:val="28"/>
      <w:lang w:val="sl-SI"/>
    </w:rPr>
  </w:style>
  <w:style w:type="character" w:customStyle="1" w:styleId="Heading2Char">
    <w:name w:val="Heading 2 Char"/>
    <w:basedOn w:val="DefaultParagraphFont"/>
    <w:link w:val="Heading2"/>
    <w:uiPriority w:val="9"/>
    <w:semiHidden/>
    <w:rsid w:val="00FA0C4E"/>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semiHidden/>
    <w:unhideWhenUsed/>
    <w:rsid w:val="00AB008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44658">
      <w:bodyDiv w:val="1"/>
      <w:marLeft w:val="0"/>
      <w:marRight w:val="0"/>
      <w:marTop w:val="0"/>
      <w:marBottom w:val="0"/>
      <w:divBdr>
        <w:top w:val="none" w:sz="0" w:space="0" w:color="auto"/>
        <w:left w:val="none" w:sz="0" w:space="0" w:color="auto"/>
        <w:bottom w:val="none" w:sz="0" w:space="0" w:color="auto"/>
        <w:right w:val="none" w:sz="0" w:space="0" w:color="auto"/>
      </w:divBdr>
    </w:div>
    <w:div w:id="29888880">
      <w:bodyDiv w:val="1"/>
      <w:marLeft w:val="0"/>
      <w:marRight w:val="0"/>
      <w:marTop w:val="0"/>
      <w:marBottom w:val="0"/>
      <w:divBdr>
        <w:top w:val="none" w:sz="0" w:space="0" w:color="auto"/>
        <w:left w:val="none" w:sz="0" w:space="0" w:color="auto"/>
        <w:bottom w:val="none" w:sz="0" w:space="0" w:color="auto"/>
        <w:right w:val="none" w:sz="0" w:space="0" w:color="auto"/>
      </w:divBdr>
    </w:div>
    <w:div w:id="140196315">
      <w:bodyDiv w:val="1"/>
      <w:marLeft w:val="0"/>
      <w:marRight w:val="0"/>
      <w:marTop w:val="0"/>
      <w:marBottom w:val="0"/>
      <w:divBdr>
        <w:top w:val="none" w:sz="0" w:space="0" w:color="auto"/>
        <w:left w:val="none" w:sz="0" w:space="0" w:color="auto"/>
        <w:bottom w:val="none" w:sz="0" w:space="0" w:color="auto"/>
        <w:right w:val="none" w:sz="0" w:space="0" w:color="auto"/>
      </w:divBdr>
    </w:div>
    <w:div w:id="152181189">
      <w:bodyDiv w:val="1"/>
      <w:marLeft w:val="0"/>
      <w:marRight w:val="0"/>
      <w:marTop w:val="0"/>
      <w:marBottom w:val="0"/>
      <w:divBdr>
        <w:top w:val="none" w:sz="0" w:space="0" w:color="auto"/>
        <w:left w:val="none" w:sz="0" w:space="0" w:color="auto"/>
        <w:bottom w:val="none" w:sz="0" w:space="0" w:color="auto"/>
        <w:right w:val="none" w:sz="0" w:space="0" w:color="auto"/>
      </w:divBdr>
    </w:div>
    <w:div w:id="254555493">
      <w:bodyDiv w:val="1"/>
      <w:marLeft w:val="0"/>
      <w:marRight w:val="0"/>
      <w:marTop w:val="0"/>
      <w:marBottom w:val="0"/>
      <w:divBdr>
        <w:top w:val="none" w:sz="0" w:space="0" w:color="auto"/>
        <w:left w:val="none" w:sz="0" w:space="0" w:color="auto"/>
        <w:bottom w:val="none" w:sz="0" w:space="0" w:color="auto"/>
        <w:right w:val="none" w:sz="0" w:space="0" w:color="auto"/>
      </w:divBdr>
    </w:div>
    <w:div w:id="271670032">
      <w:bodyDiv w:val="1"/>
      <w:marLeft w:val="0"/>
      <w:marRight w:val="0"/>
      <w:marTop w:val="0"/>
      <w:marBottom w:val="0"/>
      <w:divBdr>
        <w:top w:val="none" w:sz="0" w:space="0" w:color="auto"/>
        <w:left w:val="none" w:sz="0" w:space="0" w:color="auto"/>
        <w:bottom w:val="none" w:sz="0" w:space="0" w:color="auto"/>
        <w:right w:val="none" w:sz="0" w:space="0" w:color="auto"/>
      </w:divBdr>
    </w:div>
    <w:div w:id="295113304">
      <w:bodyDiv w:val="1"/>
      <w:marLeft w:val="0"/>
      <w:marRight w:val="0"/>
      <w:marTop w:val="0"/>
      <w:marBottom w:val="0"/>
      <w:divBdr>
        <w:top w:val="none" w:sz="0" w:space="0" w:color="auto"/>
        <w:left w:val="none" w:sz="0" w:space="0" w:color="auto"/>
        <w:bottom w:val="none" w:sz="0" w:space="0" w:color="auto"/>
        <w:right w:val="none" w:sz="0" w:space="0" w:color="auto"/>
      </w:divBdr>
    </w:div>
    <w:div w:id="329724159">
      <w:bodyDiv w:val="1"/>
      <w:marLeft w:val="0"/>
      <w:marRight w:val="0"/>
      <w:marTop w:val="0"/>
      <w:marBottom w:val="0"/>
      <w:divBdr>
        <w:top w:val="none" w:sz="0" w:space="0" w:color="auto"/>
        <w:left w:val="none" w:sz="0" w:space="0" w:color="auto"/>
        <w:bottom w:val="none" w:sz="0" w:space="0" w:color="auto"/>
        <w:right w:val="none" w:sz="0" w:space="0" w:color="auto"/>
      </w:divBdr>
    </w:div>
    <w:div w:id="364454380">
      <w:bodyDiv w:val="1"/>
      <w:marLeft w:val="0"/>
      <w:marRight w:val="0"/>
      <w:marTop w:val="0"/>
      <w:marBottom w:val="0"/>
      <w:divBdr>
        <w:top w:val="none" w:sz="0" w:space="0" w:color="auto"/>
        <w:left w:val="none" w:sz="0" w:space="0" w:color="auto"/>
        <w:bottom w:val="none" w:sz="0" w:space="0" w:color="auto"/>
        <w:right w:val="none" w:sz="0" w:space="0" w:color="auto"/>
      </w:divBdr>
    </w:div>
    <w:div w:id="382103496">
      <w:bodyDiv w:val="1"/>
      <w:marLeft w:val="0"/>
      <w:marRight w:val="0"/>
      <w:marTop w:val="0"/>
      <w:marBottom w:val="0"/>
      <w:divBdr>
        <w:top w:val="none" w:sz="0" w:space="0" w:color="auto"/>
        <w:left w:val="none" w:sz="0" w:space="0" w:color="auto"/>
        <w:bottom w:val="none" w:sz="0" w:space="0" w:color="auto"/>
        <w:right w:val="none" w:sz="0" w:space="0" w:color="auto"/>
      </w:divBdr>
    </w:div>
    <w:div w:id="393629827">
      <w:bodyDiv w:val="1"/>
      <w:marLeft w:val="0"/>
      <w:marRight w:val="0"/>
      <w:marTop w:val="0"/>
      <w:marBottom w:val="0"/>
      <w:divBdr>
        <w:top w:val="none" w:sz="0" w:space="0" w:color="auto"/>
        <w:left w:val="none" w:sz="0" w:space="0" w:color="auto"/>
        <w:bottom w:val="none" w:sz="0" w:space="0" w:color="auto"/>
        <w:right w:val="none" w:sz="0" w:space="0" w:color="auto"/>
      </w:divBdr>
    </w:div>
    <w:div w:id="405956895">
      <w:bodyDiv w:val="1"/>
      <w:marLeft w:val="0"/>
      <w:marRight w:val="0"/>
      <w:marTop w:val="0"/>
      <w:marBottom w:val="0"/>
      <w:divBdr>
        <w:top w:val="none" w:sz="0" w:space="0" w:color="auto"/>
        <w:left w:val="none" w:sz="0" w:space="0" w:color="auto"/>
        <w:bottom w:val="none" w:sz="0" w:space="0" w:color="auto"/>
        <w:right w:val="none" w:sz="0" w:space="0" w:color="auto"/>
      </w:divBdr>
    </w:div>
    <w:div w:id="451675513">
      <w:bodyDiv w:val="1"/>
      <w:marLeft w:val="0"/>
      <w:marRight w:val="0"/>
      <w:marTop w:val="0"/>
      <w:marBottom w:val="0"/>
      <w:divBdr>
        <w:top w:val="none" w:sz="0" w:space="0" w:color="auto"/>
        <w:left w:val="none" w:sz="0" w:space="0" w:color="auto"/>
        <w:bottom w:val="none" w:sz="0" w:space="0" w:color="auto"/>
        <w:right w:val="none" w:sz="0" w:space="0" w:color="auto"/>
      </w:divBdr>
    </w:div>
    <w:div w:id="491524428">
      <w:bodyDiv w:val="1"/>
      <w:marLeft w:val="0"/>
      <w:marRight w:val="0"/>
      <w:marTop w:val="0"/>
      <w:marBottom w:val="0"/>
      <w:divBdr>
        <w:top w:val="none" w:sz="0" w:space="0" w:color="auto"/>
        <w:left w:val="none" w:sz="0" w:space="0" w:color="auto"/>
        <w:bottom w:val="none" w:sz="0" w:space="0" w:color="auto"/>
        <w:right w:val="none" w:sz="0" w:space="0" w:color="auto"/>
      </w:divBdr>
    </w:div>
    <w:div w:id="511647814">
      <w:bodyDiv w:val="1"/>
      <w:marLeft w:val="0"/>
      <w:marRight w:val="0"/>
      <w:marTop w:val="0"/>
      <w:marBottom w:val="0"/>
      <w:divBdr>
        <w:top w:val="none" w:sz="0" w:space="0" w:color="auto"/>
        <w:left w:val="none" w:sz="0" w:space="0" w:color="auto"/>
        <w:bottom w:val="none" w:sz="0" w:space="0" w:color="auto"/>
        <w:right w:val="none" w:sz="0" w:space="0" w:color="auto"/>
      </w:divBdr>
    </w:div>
    <w:div w:id="517352616">
      <w:bodyDiv w:val="1"/>
      <w:marLeft w:val="0"/>
      <w:marRight w:val="0"/>
      <w:marTop w:val="0"/>
      <w:marBottom w:val="0"/>
      <w:divBdr>
        <w:top w:val="none" w:sz="0" w:space="0" w:color="auto"/>
        <w:left w:val="none" w:sz="0" w:space="0" w:color="auto"/>
        <w:bottom w:val="none" w:sz="0" w:space="0" w:color="auto"/>
        <w:right w:val="none" w:sz="0" w:space="0" w:color="auto"/>
      </w:divBdr>
    </w:div>
    <w:div w:id="575289497">
      <w:bodyDiv w:val="1"/>
      <w:marLeft w:val="0"/>
      <w:marRight w:val="0"/>
      <w:marTop w:val="0"/>
      <w:marBottom w:val="0"/>
      <w:divBdr>
        <w:top w:val="none" w:sz="0" w:space="0" w:color="auto"/>
        <w:left w:val="none" w:sz="0" w:space="0" w:color="auto"/>
        <w:bottom w:val="none" w:sz="0" w:space="0" w:color="auto"/>
        <w:right w:val="none" w:sz="0" w:space="0" w:color="auto"/>
      </w:divBdr>
      <w:divsChild>
        <w:div w:id="906887803">
          <w:marLeft w:val="0"/>
          <w:marRight w:val="0"/>
          <w:marTop w:val="0"/>
          <w:marBottom w:val="0"/>
          <w:divBdr>
            <w:top w:val="none" w:sz="0" w:space="0" w:color="auto"/>
            <w:left w:val="none" w:sz="0" w:space="0" w:color="auto"/>
            <w:bottom w:val="none" w:sz="0" w:space="0" w:color="auto"/>
            <w:right w:val="none" w:sz="0" w:space="0" w:color="auto"/>
          </w:divBdr>
          <w:divsChild>
            <w:div w:id="2046296836">
              <w:marLeft w:val="0"/>
              <w:marRight w:val="0"/>
              <w:marTop w:val="0"/>
              <w:marBottom w:val="0"/>
              <w:divBdr>
                <w:top w:val="none" w:sz="0" w:space="0" w:color="auto"/>
                <w:left w:val="none" w:sz="0" w:space="0" w:color="auto"/>
                <w:bottom w:val="none" w:sz="0" w:space="0" w:color="auto"/>
                <w:right w:val="none" w:sz="0" w:space="0" w:color="auto"/>
              </w:divBdr>
              <w:divsChild>
                <w:div w:id="851840661">
                  <w:marLeft w:val="0"/>
                  <w:marRight w:val="0"/>
                  <w:marTop w:val="0"/>
                  <w:marBottom w:val="0"/>
                  <w:divBdr>
                    <w:top w:val="none" w:sz="0" w:space="0" w:color="auto"/>
                    <w:left w:val="none" w:sz="0" w:space="0" w:color="auto"/>
                    <w:bottom w:val="none" w:sz="0" w:space="0" w:color="auto"/>
                    <w:right w:val="none" w:sz="0" w:space="0" w:color="auto"/>
                  </w:divBdr>
                  <w:divsChild>
                    <w:div w:id="197132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107846">
      <w:bodyDiv w:val="1"/>
      <w:marLeft w:val="0"/>
      <w:marRight w:val="0"/>
      <w:marTop w:val="0"/>
      <w:marBottom w:val="0"/>
      <w:divBdr>
        <w:top w:val="none" w:sz="0" w:space="0" w:color="auto"/>
        <w:left w:val="none" w:sz="0" w:space="0" w:color="auto"/>
        <w:bottom w:val="none" w:sz="0" w:space="0" w:color="auto"/>
        <w:right w:val="none" w:sz="0" w:space="0" w:color="auto"/>
      </w:divBdr>
    </w:div>
    <w:div w:id="629359040">
      <w:bodyDiv w:val="1"/>
      <w:marLeft w:val="0"/>
      <w:marRight w:val="0"/>
      <w:marTop w:val="0"/>
      <w:marBottom w:val="0"/>
      <w:divBdr>
        <w:top w:val="none" w:sz="0" w:space="0" w:color="auto"/>
        <w:left w:val="none" w:sz="0" w:space="0" w:color="auto"/>
        <w:bottom w:val="none" w:sz="0" w:space="0" w:color="auto"/>
        <w:right w:val="none" w:sz="0" w:space="0" w:color="auto"/>
      </w:divBdr>
    </w:div>
    <w:div w:id="667171661">
      <w:bodyDiv w:val="1"/>
      <w:marLeft w:val="0"/>
      <w:marRight w:val="0"/>
      <w:marTop w:val="0"/>
      <w:marBottom w:val="0"/>
      <w:divBdr>
        <w:top w:val="none" w:sz="0" w:space="0" w:color="auto"/>
        <w:left w:val="none" w:sz="0" w:space="0" w:color="auto"/>
        <w:bottom w:val="none" w:sz="0" w:space="0" w:color="auto"/>
        <w:right w:val="none" w:sz="0" w:space="0" w:color="auto"/>
      </w:divBdr>
    </w:div>
    <w:div w:id="675696290">
      <w:bodyDiv w:val="1"/>
      <w:marLeft w:val="0"/>
      <w:marRight w:val="0"/>
      <w:marTop w:val="0"/>
      <w:marBottom w:val="0"/>
      <w:divBdr>
        <w:top w:val="none" w:sz="0" w:space="0" w:color="auto"/>
        <w:left w:val="none" w:sz="0" w:space="0" w:color="auto"/>
        <w:bottom w:val="none" w:sz="0" w:space="0" w:color="auto"/>
        <w:right w:val="none" w:sz="0" w:space="0" w:color="auto"/>
      </w:divBdr>
    </w:div>
    <w:div w:id="683048145">
      <w:bodyDiv w:val="1"/>
      <w:marLeft w:val="0"/>
      <w:marRight w:val="0"/>
      <w:marTop w:val="0"/>
      <w:marBottom w:val="0"/>
      <w:divBdr>
        <w:top w:val="none" w:sz="0" w:space="0" w:color="auto"/>
        <w:left w:val="none" w:sz="0" w:space="0" w:color="auto"/>
        <w:bottom w:val="none" w:sz="0" w:space="0" w:color="auto"/>
        <w:right w:val="none" w:sz="0" w:space="0" w:color="auto"/>
      </w:divBdr>
    </w:div>
    <w:div w:id="696850549">
      <w:bodyDiv w:val="1"/>
      <w:marLeft w:val="0"/>
      <w:marRight w:val="0"/>
      <w:marTop w:val="0"/>
      <w:marBottom w:val="0"/>
      <w:divBdr>
        <w:top w:val="none" w:sz="0" w:space="0" w:color="auto"/>
        <w:left w:val="none" w:sz="0" w:space="0" w:color="auto"/>
        <w:bottom w:val="none" w:sz="0" w:space="0" w:color="auto"/>
        <w:right w:val="none" w:sz="0" w:space="0" w:color="auto"/>
      </w:divBdr>
    </w:div>
    <w:div w:id="705526277">
      <w:bodyDiv w:val="1"/>
      <w:marLeft w:val="0"/>
      <w:marRight w:val="0"/>
      <w:marTop w:val="0"/>
      <w:marBottom w:val="0"/>
      <w:divBdr>
        <w:top w:val="none" w:sz="0" w:space="0" w:color="auto"/>
        <w:left w:val="none" w:sz="0" w:space="0" w:color="auto"/>
        <w:bottom w:val="none" w:sz="0" w:space="0" w:color="auto"/>
        <w:right w:val="none" w:sz="0" w:space="0" w:color="auto"/>
      </w:divBdr>
    </w:div>
    <w:div w:id="765151154">
      <w:bodyDiv w:val="1"/>
      <w:marLeft w:val="0"/>
      <w:marRight w:val="0"/>
      <w:marTop w:val="0"/>
      <w:marBottom w:val="0"/>
      <w:divBdr>
        <w:top w:val="none" w:sz="0" w:space="0" w:color="auto"/>
        <w:left w:val="none" w:sz="0" w:space="0" w:color="auto"/>
        <w:bottom w:val="none" w:sz="0" w:space="0" w:color="auto"/>
        <w:right w:val="none" w:sz="0" w:space="0" w:color="auto"/>
      </w:divBdr>
    </w:div>
    <w:div w:id="799610564">
      <w:bodyDiv w:val="1"/>
      <w:marLeft w:val="0"/>
      <w:marRight w:val="0"/>
      <w:marTop w:val="0"/>
      <w:marBottom w:val="0"/>
      <w:divBdr>
        <w:top w:val="none" w:sz="0" w:space="0" w:color="auto"/>
        <w:left w:val="none" w:sz="0" w:space="0" w:color="auto"/>
        <w:bottom w:val="none" w:sz="0" w:space="0" w:color="auto"/>
        <w:right w:val="none" w:sz="0" w:space="0" w:color="auto"/>
      </w:divBdr>
    </w:div>
    <w:div w:id="822234861">
      <w:bodyDiv w:val="1"/>
      <w:marLeft w:val="0"/>
      <w:marRight w:val="0"/>
      <w:marTop w:val="0"/>
      <w:marBottom w:val="0"/>
      <w:divBdr>
        <w:top w:val="none" w:sz="0" w:space="0" w:color="auto"/>
        <w:left w:val="none" w:sz="0" w:space="0" w:color="auto"/>
        <w:bottom w:val="none" w:sz="0" w:space="0" w:color="auto"/>
        <w:right w:val="none" w:sz="0" w:space="0" w:color="auto"/>
      </w:divBdr>
    </w:div>
    <w:div w:id="951127404">
      <w:bodyDiv w:val="1"/>
      <w:marLeft w:val="0"/>
      <w:marRight w:val="0"/>
      <w:marTop w:val="0"/>
      <w:marBottom w:val="0"/>
      <w:divBdr>
        <w:top w:val="none" w:sz="0" w:space="0" w:color="auto"/>
        <w:left w:val="none" w:sz="0" w:space="0" w:color="auto"/>
        <w:bottom w:val="none" w:sz="0" w:space="0" w:color="auto"/>
        <w:right w:val="none" w:sz="0" w:space="0" w:color="auto"/>
      </w:divBdr>
    </w:div>
    <w:div w:id="976960519">
      <w:bodyDiv w:val="1"/>
      <w:marLeft w:val="0"/>
      <w:marRight w:val="0"/>
      <w:marTop w:val="0"/>
      <w:marBottom w:val="0"/>
      <w:divBdr>
        <w:top w:val="none" w:sz="0" w:space="0" w:color="auto"/>
        <w:left w:val="none" w:sz="0" w:space="0" w:color="auto"/>
        <w:bottom w:val="none" w:sz="0" w:space="0" w:color="auto"/>
        <w:right w:val="none" w:sz="0" w:space="0" w:color="auto"/>
      </w:divBdr>
    </w:div>
    <w:div w:id="996500446">
      <w:bodyDiv w:val="1"/>
      <w:marLeft w:val="0"/>
      <w:marRight w:val="0"/>
      <w:marTop w:val="0"/>
      <w:marBottom w:val="0"/>
      <w:divBdr>
        <w:top w:val="none" w:sz="0" w:space="0" w:color="auto"/>
        <w:left w:val="none" w:sz="0" w:space="0" w:color="auto"/>
        <w:bottom w:val="none" w:sz="0" w:space="0" w:color="auto"/>
        <w:right w:val="none" w:sz="0" w:space="0" w:color="auto"/>
      </w:divBdr>
      <w:divsChild>
        <w:div w:id="437216788">
          <w:marLeft w:val="0"/>
          <w:marRight w:val="0"/>
          <w:marTop w:val="0"/>
          <w:marBottom w:val="0"/>
          <w:divBdr>
            <w:top w:val="none" w:sz="0" w:space="0" w:color="auto"/>
            <w:left w:val="none" w:sz="0" w:space="0" w:color="auto"/>
            <w:bottom w:val="none" w:sz="0" w:space="0" w:color="auto"/>
            <w:right w:val="none" w:sz="0" w:space="0" w:color="auto"/>
          </w:divBdr>
          <w:divsChild>
            <w:div w:id="95490627">
              <w:marLeft w:val="0"/>
              <w:marRight w:val="0"/>
              <w:marTop w:val="0"/>
              <w:marBottom w:val="0"/>
              <w:divBdr>
                <w:top w:val="none" w:sz="0" w:space="0" w:color="auto"/>
                <w:left w:val="none" w:sz="0" w:space="0" w:color="auto"/>
                <w:bottom w:val="none" w:sz="0" w:space="0" w:color="auto"/>
                <w:right w:val="none" w:sz="0" w:space="0" w:color="auto"/>
              </w:divBdr>
              <w:divsChild>
                <w:div w:id="937523989">
                  <w:marLeft w:val="0"/>
                  <w:marRight w:val="0"/>
                  <w:marTop w:val="0"/>
                  <w:marBottom w:val="0"/>
                  <w:divBdr>
                    <w:top w:val="none" w:sz="0" w:space="0" w:color="auto"/>
                    <w:left w:val="none" w:sz="0" w:space="0" w:color="auto"/>
                    <w:bottom w:val="none" w:sz="0" w:space="0" w:color="auto"/>
                    <w:right w:val="none" w:sz="0" w:space="0" w:color="auto"/>
                  </w:divBdr>
                  <w:divsChild>
                    <w:div w:id="122186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080742">
      <w:bodyDiv w:val="1"/>
      <w:marLeft w:val="0"/>
      <w:marRight w:val="0"/>
      <w:marTop w:val="0"/>
      <w:marBottom w:val="0"/>
      <w:divBdr>
        <w:top w:val="none" w:sz="0" w:space="0" w:color="auto"/>
        <w:left w:val="none" w:sz="0" w:space="0" w:color="auto"/>
        <w:bottom w:val="none" w:sz="0" w:space="0" w:color="auto"/>
        <w:right w:val="none" w:sz="0" w:space="0" w:color="auto"/>
      </w:divBdr>
    </w:div>
    <w:div w:id="1055666439">
      <w:bodyDiv w:val="1"/>
      <w:marLeft w:val="0"/>
      <w:marRight w:val="0"/>
      <w:marTop w:val="0"/>
      <w:marBottom w:val="0"/>
      <w:divBdr>
        <w:top w:val="none" w:sz="0" w:space="0" w:color="auto"/>
        <w:left w:val="none" w:sz="0" w:space="0" w:color="auto"/>
        <w:bottom w:val="none" w:sz="0" w:space="0" w:color="auto"/>
        <w:right w:val="none" w:sz="0" w:space="0" w:color="auto"/>
      </w:divBdr>
    </w:div>
    <w:div w:id="1066878992">
      <w:bodyDiv w:val="1"/>
      <w:marLeft w:val="0"/>
      <w:marRight w:val="0"/>
      <w:marTop w:val="0"/>
      <w:marBottom w:val="0"/>
      <w:divBdr>
        <w:top w:val="none" w:sz="0" w:space="0" w:color="auto"/>
        <w:left w:val="none" w:sz="0" w:space="0" w:color="auto"/>
        <w:bottom w:val="none" w:sz="0" w:space="0" w:color="auto"/>
        <w:right w:val="none" w:sz="0" w:space="0" w:color="auto"/>
      </w:divBdr>
    </w:div>
    <w:div w:id="1093744674">
      <w:bodyDiv w:val="1"/>
      <w:marLeft w:val="0"/>
      <w:marRight w:val="0"/>
      <w:marTop w:val="0"/>
      <w:marBottom w:val="0"/>
      <w:divBdr>
        <w:top w:val="none" w:sz="0" w:space="0" w:color="auto"/>
        <w:left w:val="none" w:sz="0" w:space="0" w:color="auto"/>
        <w:bottom w:val="none" w:sz="0" w:space="0" w:color="auto"/>
        <w:right w:val="none" w:sz="0" w:space="0" w:color="auto"/>
      </w:divBdr>
    </w:div>
    <w:div w:id="1147211081">
      <w:bodyDiv w:val="1"/>
      <w:marLeft w:val="0"/>
      <w:marRight w:val="0"/>
      <w:marTop w:val="0"/>
      <w:marBottom w:val="0"/>
      <w:divBdr>
        <w:top w:val="none" w:sz="0" w:space="0" w:color="auto"/>
        <w:left w:val="none" w:sz="0" w:space="0" w:color="auto"/>
        <w:bottom w:val="none" w:sz="0" w:space="0" w:color="auto"/>
        <w:right w:val="none" w:sz="0" w:space="0" w:color="auto"/>
      </w:divBdr>
    </w:div>
    <w:div w:id="1164467977">
      <w:bodyDiv w:val="1"/>
      <w:marLeft w:val="0"/>
      <w:marRight w:val="0"/>
      <w:marTop w:val="0"/>
      <w:marBottom w:val="0"/>
      <w:divBdr>
        <w:top w:val="none" w:sz="0" w:space="0" w:color="auto"/>
        <w:left w:val="none" w:sz="0" w:space="0" w:color="auto"/>
        <w:bottom w:val="none" w:sz="0" w:space="0" w:color="auto"/>
        <w:right w:val="none" w:sz="0" w:space="0" w:color="auto"/>
      </w:divBdr>
    </w:div>
    <w:div w:id="1226379262">
      <w:bodyDiv w:val="1"/>
      <w:marLeft w:val="0"/>
      <w:marRight w:val="0"/>
      <w:marTop w:val="0"/>
      <w:marBottom w:val="0"/>
      <w:divBdr>
        <w:top w:val="none" w:sz="0" w:space="0" w:color="auto"/>
        <w:left w:val="none" w:sz="0" w:space="0" w:color="auto"/>
        <w:bottom w:val="none" w:sz="0" w:space="0" w:color="auto"/>
        <w:right w:val="none" w:sz="0" w:space="0" w:color="auto"/>
      </w:divBdr>
    </w:div>
    <w:div w:id="1237588034">
      <w:bodyDiv w:val="1"/>
      <w:marLeft w:val="0"/>
      <w:marRight w:val="0"/>
      <w:marTop w:val="0"/>
      <w:marBottom w:val="0"/>
      <w:divBdr>
        <w:top w:val="none" w:sz="0" w:space="0" w:color="auto"/>
        <w:left w:val="none" w:sz="0" w:space="0" w:color="auto"/>
        <w:bottom w:val="none" w:sz="0" w:space="0" w:color="auto"/>
        <w:right w:val="none" w:sz="0" w:space="0" w:color="auto"/>
      </w:divBdr>
    </w:div>
    <w:div w:id="1268805496">
      <w:bodyDiv w:val="1"/>
      <w:marLeft w:val="0"/>
      <w:marRight w:val="0"/>
      <w:marTop w:val="0"/>
      <w:marBottom w:val="0"/>
      <w:divBdr>
        <w:top w:val="none" w:sz="0" w:space="0" w:color="auto"/>
        <w:left w:val="none" w:sz="0" w:space="0" w:color="auto"/>
        <w:bottom w:val="none" w:sz="0" w:space="0" w:color="auto"/>
        <w:right w:val="none" w:sz="0" w:space="0" w:color="auto"/>
      </w:divBdr>
    </w:div>
    <w:div w:id="1270312426">
      <w:bodyDiv w:val="1"/>
      <w:marLeft w:val="0"/>
      <w:marRight w:val="0"/>
      <w:marTop w:val="0"/>
      <w:marBottom w:val="0"/>
      <w:divBdr>
        <w:top w:val="none" w:sz="0" w:space="0" w:color="auto"/>
        <w:left w:val="none" w:sz="0" w:space="0" w:color="auto"/>
        <w:bottom w:val="none" w:sz="0" w:space="0" w:color="auto"/>
        <w:right w:val="none" w:sz="0" w:space="0" w:color="auto"/>
      </w:divBdr>
    </w:div>
    <w:div w:id="1282999071">
      <w:bodyDiv w:val="1"/>
      <w:marLeft w:val="0"/>
      <w:marRight w:val="0"/>
      <w:marTop w:val="0"/>
      <w:marBottom w:val="0"/>
      <w:divBdr>
        <w:top w:val="none" w:sz="0" w:space="0" w:color="auto"/>
        <w:left w:val="none" w:sz="0" w:space="0" w:color="auto"/>
        <w:bottom w:val="none" w:sz="0" w:space="0" w:color="auto"/>
        <w:right w:val="none" w:sz="0" w:space="0" w:color="auto"/>
      </w:divBdr>
    </w:div>
    <w:div w:id="1292982009">
      <w:bodyDiv w:val="1"/>
      <w:marLeft w:val="0"/>
      <w:marRight w:val="0"/>
      <w:marTop w:val="0"/>
      <w:marBottom w:val="0"/>
      <w:divBdr>
        <w:top w:val="none" w:sz="0" w:space="0" w:color="auto"/>
        <w:left w:val="none" w:sz="0" w:space="0" w:color="auto"/>
        <w:bottom w:val="none" w:sz="0" w:space="0" w:color="auto"/>
        <w:right w:val="none" w:sz="0" w:space="0" w:color="auto"/>
      </w:divBdr>
    </w:div>
    <w:div w:id="1304431700">
      <w:bodyDiv w:val="1"/>
      <w:marLeft w:val="0"/>
      <w:marRight w:val="0"/>
      <w:marTop w:val="0"/>
      <w:marBottom w:val="0"/>
      <w:divBdr>
        <w:top w:val="none" w:sz="0" w:space="0" w:color="auto"/>
        <w:left w:val="none" w:sz="0" w:space="0" w:color="auto"/>
        <w:bottom w:val="none" w:sz="0" w:space="0" w:color="auto"/>
        <w:right w:val="none" w:sz="0" w:space="0" w:color="auto"/>
      </w:divBdr>
    </w:div>
    <w:div w:id="1322075207">
      <w:bodyDiv w:val="1"/>
      <w:marLeft w:val="0"/>
      <w:marRight w:val="0"/>
      <w:marTop w:val="0"/>
      <w:marBottom w:val="0"/>
      <w:divBdr>
        <w:top w:val="none" w:sz="0" w:space="0" w:color="auto"/>
        <w:left w:val="none" w:sz="0" w:space="0" w:color="auto"/>
        <w:bottom w:val="none" w:sz="0" w:space="0" w:color="auto"/>
        <w:right w:val="none" w:sz="0" w:space="0" w:color="auto"/>
      </w:divBdr>
    </w:div>
    <w:div w:id="1332562878">
      <w:bodyDiv w:val="1"/>
      <w:marLeft w:val="0"/>
      <w:marRight w:val="0"/>
      <w:marTop w:val="0"/>
      <w:marBottom w:val="0"/>
      <w:divBdr>
        <w:top w:val="none" w:sz="0" w:space="0" w:color="auto"/>
        <w:left w:val="none" w:sz="0" w:space="0" w:color="auto"/>
        <w:bottom w:val="none" w:sz="0" w:space="0" w:color="auto"/>
        <w:right w:val="none" w:sz="0" w:space="0" w:color="auto"/>
      </w:divBdr>
    </w:div>
    <w:div w:id="1335961128">
      <w:bodyDiv w:val="1"/>
      <w:marLeft w:val="0"/>
      <w:marRight w:val="0"/>
      <w:marTop w:val="0"/>
      <w:marBottom w:val="0"/>
      <w:divBdr>
        <w:top w:val="none" w:sz="0" w:space="0" w:color="auto"/>
        <w:left w:val="none" w:sz="0" w:space="0" w:color="auto"/>
        <w:bottom w:val="none" w:sz="0" w:space="0" w:color="auto"/>
        <w:right w:val="none" w:sz="0" w:space="0" w:color="auto"/>
      </w:divBdr>
    </w:div>
    <w:div w:id="1379160674">
      <w:bodyDiv w:val="1"/>
      <w:marLeft w:val="0"/>
      <w:marRight w:val="0"/>
      <w:marTop w:val="0"/>
      <w:marBottom w:val="0"/>
      <w:divBdr>
        <w:top w:val="none" w:sz="0" w:space="0" w:color="auto"/>
        <w:left w:val="none" w:sz="0" w:space="0" w:color="auto"/>
        <w:bottom w:val="none" w:sz="0" w:space="0" w:color="auto"/>
        <w:right w:val="none" w:sz="0" w:space="0" w:color="auto"/>
      </w:divBdr>
    </w:div>
    <w:div w:id="1387988762">
      <w:bodyDiv w:val="1"/>
      <w:marLeft w:val="0"/>
      <w:marRight w:val="0"/>
      <w:marTop w:val="0"/>
      <w:marBottom w:val="0"/>
      <w:divBdr>
        <w:top w:val="none" w:sz="0" w:space="0" w:color="auto"/>
        <w:left w:val="none" w:sz="0" w:space="0" w:color="auto"/>
        <w:bottom w:val="none" w:sz="0" w:space="0" w:color="auto"/>
        <w:right w:val="none" w:sz="0" w:space="0" w:color="auto"/>
      </w:divBdr>
    </w:div>
    <w:div w:id="1410301704">
      <w:bodyDiv w:val="1"/>
      <w:marLeft w:val="0"/>
      <w:marRight w:val="0"/>
      <w:marTop w:val="0"/>
      <w:marBottom w:val="0"/>
      <w:divBdr>
        <w:top w:val="none" w:sz="0" w:space="0" w:color="auto"/>
        <w:left w:val="none" w:sz="0" w:space="0" w:color="auto"/>
        <w:bottom w:val="none" w:sz="0" w:space="0" w:color="auto"/>
        <w:right w:val="none" w:sz="0" w:space="0" w:color="auto"/>
      </w:divBdr>
    </w:div>
    <w:div w:id="1506018565">
      <w:bodyDiv w:val="1"/>
      <w:marLeft w:val="0"/>
      <w:marRight w:val="0"/>
      <w:marTop w:val="0"/>
      <w:marBottom w:val="0"/>
      <w:divBdr>
        <w:top w:val="none" w:sz="0" w:space="0" w:color="auto"/>
        <w:left w:val="none" w:sz="0" w:space="0" w:color="auto"/>
        <w:bottom w:val="none" w:sz="0" w:space="0" w:color="auto"/>
        <w:right w:val="none" w:sz="0" w:space="0" w:color="auto"/>
      </w:divBdr>
    </w:div>
    <w:div w:id="1506356582">
      <w:bodyDiv w:val="1"/>
      <w:marLeft w:val="0"/>
      <w:marRight w:val="0"/>
      <w:marTop w:val="0"/>
      <w:marBottom w:val="0"/>
      <w:divBdr>
        <w:top w:val="none" w:sz="0" w:space="0" w:color="auto"/>
        <w:left w:val="none" w:sz="0" w:space="0" w:color="auto"/>
        <w:bottom w:val="none" w:sz="0" w:space="0" w:color="auto"/>
        <w:right w:val="none" w:sz="0" w:space="0" w:color="auto"/>
      </w:divBdr>
    </w:div>
    <w:div w:id="1539124357">
      <w:bodyDiv w:val="1"/>
      <w:marLeft w:val="0"/>
      <w:marRight w:val="0"/>
      <w:marTop w:val="0"/>
      <w:marBottom w:val="0"/>
      <w:divBdr>
        <w:top w:val="none" w:sz="0" w:space="0" w:color="auto"/>
        <w:left w:val="none" w:sz="0" w:space="0" w:color="auto"/>
        <w:bottom w:val="none" w:sz="0" w:space="0" w:color="auto"/>
        <w:right w:val="none" w:sz="0" w:space="0" w:color="auto"/>
      </w:divBdr>
    </w:div>
    <w:div w:id="1598095640">
      <w:bodyDiv w:val="1"/>
      <w:marLeft w:val="0"/>
      <w:marRight w:val="0"/>
      <w:marTop w:val="0"/>
      <w:marBottom w:val="0"/>
      <w:divBdr>
        <w:top w:val="none" w:sz="0" w:space="0" w:color="auto"/>
        <w:left w:val="none" w:sz="0" w:space="0" w:color="auto"/>
        <w:bottom w:val="none" w:sz="0" w:space="0" w:color="auto"/>
        <w:right w:val="none" w:sz="0" w:space="0" w:color="auto"/>
      </w:divBdr>
    </w:div>
    <w:div w:id="1601180239">
      <w:bodyDiv w:val="1"/>
      <w:marLeft w:val="0"/>
      <w:marRight w:val="0"/>
      <w:marTop w:val="0"/>
      <w:marBottom w:val="0"/>
      <w:divBdr>
        <w:top w:val="none" w:sz="0" w:space="0" w:color="auto"/>
        <w:left w:val="none" w:sz="0" w:space="0" w:color="auto"/>
        <w:bottom w:val="none" w:sz="0" w:space="0" w:color="auto"/>
        <w:right w:val="none" w:sz="0" w:space="0" w:color="auto"/>
      </w:divBdr>
    </w:div>
    <w:div w:id="1611543826">
      <w:bodyDiv w:val="1"/>
      <w:marLeft w:val="0"/>
      <w:marRight w:val="0"/>
      <w:marTop w:val="0"/>
      <w:marBottom w:val="0"/>
      <w:divBdr>
        <w:top w:val="none" w:sz="0" w:space="0" w:color="auto"/>
        <w:left w:val="none" w:sz="0" w:space="0" w:color="auto"/>
        <w:bottom w:val="none" w:sz="0" w:space="0" w:color="auto"/>
        <w:right w:val="none" w:sz="0" w:space="0" w:color="auto"/>
      </w:divBdr>
    </w:div>
    <w:div w:id="1614438880">
      <w:bodyDiv w:val="1"/>
      <w:marLeft w:val="0"/>
      <w:marRight w:val="0"/>
      <w:marTop w:val="0"/>
      <w:marBottom w:val="0"/>
      <w:divBdr>
        <w:top w:val="none" w:sz="0" w:space="0" w:color="auto"/>
        <w:left w:val="none" w:sz="0" w:space="0" w:color="auto"/>
        <w:bottom w:val="none" w:sz="0" w:space="0" w:color="auto"/>
        <w:right w:val="none" w:sz="0" w:space="0" w:color="auto"/>
      </w:divBdr>
    </w:div>
    <w:div w:id="1632904587">
      <w:bodyDiv w:val="1"/>
      <w:marLeft w:val="0"/>
      <w:marRight w:val="0"/>
      <w:marTop w:val="0"/>
      <w:marBottom w:val="0"/>
      <w:divBdr>
        <w:top w:val="none" w:sz="0" w:space="0" w:color="auto"/>
        <w:left w:val="none" w:sz="0" w:space="0" w:color="auto"/>
        <w:bottom w:val="none" w:sz="0" w:space="0" w:color="auto"/>
        <w:right w:val="none" w:sz="0" w:space="0" w:color="auto"/>
      </w:divBdr>
    </w:div>
    <w:div w:id="1670130368">
      <w:bodyDiv w:val="1"/>
      <w:marLeft w:val="0"/>
      <w:marRight w:val="0"/>
      <w:marTop w:val="0"/>
      <w:marBottom w:val="0"/>
      <w:divBdr>
        <w:top w:val="none" w:sz="0" w:space="0" w:color="auto"/>
        <w:left w:val="none" w:sz="0" w:space="0" w:color="auto"/>
        <w:bottom w:val="none" w:sz="0" w:space="0" w:color="auto"/>
        <w:right w:val="none" w:sz="0" w:space="0" w:color="auto"/>
      </w:divBdr>
    </w:div>
    <w:div w:id="1676111564">
      <w:bodyDiv w:val="1"/>
      <w:marLeft w:val="0"/>
      <w:marRight w:val="0"/>
      <w:marTop w:val="0"/>
      <w:marBottom w:val="0"/>
      <w:divBdr>
        <w:top w:val="none" w:sz="0" w:space="0" w:color="auto"/>
        <w:left w:val="none" w:sz="0" w:space="0" w:color="auto"/>
        <w:bottom w:val="none" w:sz="0" w:space="0" w:color="auto"/>
        <w:right w:val="none" w:sz="0" w:space="0" w:color="auto"/>
      </w:divBdr>
    </w:div>
    <w:div w:id="1786346511">
      <w:bodyDiv w:val="1"/>
      <w:marLeft w:val="0"/>
      <w:marRight w:val="0"/>
      <w:marTop w:val="0"/>
      <w:marBottom w:val="0"/>
      <w:divBdr>
        <w:top w:val="none" w:sz="0" w:space="0" w:color="auto"/>
        <w:left w:val="none" w:sz="0" w:space="0" w:color="auto"/>
        <w:bottom w:val="none" w:sz="0" w:space="0" w:color="auto"/>
        <w:right w:val="none" w:sz="0" w:space="0" w:color="auto"/>
      </w:divBdr>
    </w:div>
    <w:div w:id="1813714185">
      <w:bodyDiv w:val="1"/>
      <w:marLeft w:val="0"/>
      <w:marRight w:val="0"/>
      <w:marTop w:val="0"/>
      <w:marBottom w:val="0"/>
      <w:divBdr>
        <w:top w:val="none" w:sz="0" w:space="0" w:color="auto"/>
        <w:left w:val="none" w:sz="0" w:space="0" w:color="auto"/>
        <w:bottom w:val="none" w:sz="0" w:space="0" w:color="auto"/>
        <w:right w:val="none" w:sz="0" w:space="0" w:color="auto"/>
      </w:divBdr>
    </w:div>
    <w:div w:id="1836874582">
      <w:bodyDiv w:val="1"/>
      <w:marLeft w:val="0"/>
      <w:marRight w:val="0"/>
      <w:marTop w:val="0"/>
      <w:marBottom w:val="0"/>
      <w:divBdr>
        <w:top w:val="none" w:sz="0" w:space="0" w:color="auto"/>
        <w:left w:val="none" w:sz="0" w:space="0" w:color="auto"/>
        <w:bottom w:val="none" w:sz="0" w:space="0" w:color="auto"/>
        <w:right w:val="none" w:sz="0" w:space="0" w:color="auto"/>
      </w:divBdr>
    </w:div>
    <w:div w:id="1888377374">
      <w:bodyDiv w:val="1"/>
      <w:marLeft w:val="0"/>
      <w:marRight w:val="0"/>
      <w:marTop w:val="0"/>
      <w:marBottom w:val="0"/>
      <w:divBdr>
        <w:top w:val="none" w:sz="0" w:space="0" w:color="auto"/>
        <w:left w:val="none" w:sz="0" w:space="0" w:color="auto"/>
        <w:bottom w:val="none" w:sz="0" w:space="0" w:color="auto"/>
        <w:right w:val="none" w:sz="0" w:space="0" w:color="auto"/>
      </w:divBdr>
    </w:div>
    <w:div w:id="1917665439">
      <w:bodyDiv w:val="1"/>
      <w:marLeft w:val="0"/>
      <w:marRight w:val="0"/>
      <w:marTop w:val="0"/>
      <w:marBottom w:val="0"/>
      <w:divBdr>
        <w:top w:val="none" w:sz="0" w:space="0" w:color="auto"/>
        <w:left w:val="none" w:sz="0" w:space="0" w:color="auto"/>
        <w:bottom w:val="none" w:sz="0" w:space="0" w:color="auto"/>
        <w:right w:val="none" w:sz="0" w:space="0" w:color="auto"/>
      </w:divBdr>
    </w:div>
    <w:div w:id="1982732363">
      <w:bodyDiv w:val="1"/>
      <w:marLeft w:val="0"/>
      <w:marRight w:val="0"/>
      <w:marTop w:val="0"/>
      <w:marBottom w:val="0"/>
      <w:divBdr>
        <w:top w:val="none" w:sz="0" w:space="0" w:color="auto"/>
        <w:left w:val="none" w:sz="0" w:space="0" w:color="auto"/>
        <w:bottom w:val="none" w:sz="0" w:space="0" w:color="auto"/>
        <w:right w:val="none" w:sz="0" w:space="0" w:color="auto"/>
      </w:divBdr>
    </w:div>
    <w:div w:id="1994798988">
      <w:bodyDiv w:val="1"/>
      <w:marLeft w:val="0"/>
      <w:marRight w:val="0"/>
      <w:marTop w:val="0"/>
      <w:marBottom w:val="0"/>
      <w:divBdr>
        <w:top w:val="none" w:sz="0" w:space="0" w:color="auto"/>
        <w:left w:val="none" w:sz="0" w:space="0" w:color="auto"/>
        <w:bottom w:val="none" w:sz="0" w:space="0" w:color="auto"/>
        <w:right w:val="none" w:sz="0" w:space="0" w:color="auto"/>
      </w:divBdr>
    </w:div>
    <w:div w:id="2016034212">
      <w:bodyDiv w:val="1"/>
      <w:marLeft w:val="0"/>
      <w:marRight w:val="0"/>
      <w:marTop w:val="0"/>
      <w:marBottom w:val="0"/>
      <w:divBdr>
        <w:top w:val="none" w:sz="0" w:space="0" w:color="auto"/>
        <w:left w:val="none" w:sz="0" w:space="0" w:color="auto"/>
        <w:bottom w:val="none" w:sz="0" w:space="0" w:color="auto"/>
        <w:right w:val="none" w:sz="0" w:space="0" w:color="auto"/>
      </w:divBdr>
    </w:div>
    <w:div w:id="2021420778">
      <w:bodyDiv w:val="1"/>
      <w:marLeft w:val="0"/>
      <w:marRight w:val="0"/>
      <w:marTop w:val="0"/>
      <w:marBottom w:val="0"/>
      <w:divBdr>
        <w:top w:val="none" w:sz="0" w:space="0" w:color="auto"/>
        <w:left w:val="none" w:sz="0" w:space="0" w:color="auto"/>
        <w:bottom w:val="none" w:sz="0" w:space="0" w:color="auto"/>
        <w:right w:val="none" w:sz="0" w:space="0" w:color="auto"/>
      </w:divBdr>
    </w:div>
    <w:div w:id="2035954908">
      <w:bodyDiv w:val="1"/>
      <w:marLeft w:val="0"/>
      <w:marRight w:val="0"/>
      <w:marTop w:val="0"/>
      <w:marBottom w:val="0"/>
      <w:divBdr>
        <w:top w:val="none" w:sz="0" w:space="0" w:color="auto"/>
        <w:left w:val="none" w:sz="0" w:space="0" w:color="auto"/>
        <w:bottom w:val="none" w:sz="0" w:space="0" w:color="auto"/>
        <w:right w:val="none" w:sz="0" w:space="0" w:color="auto"/>
      </w:divBdr>
    </w:div>
    <w:div w:id="2055691504">
      <w:bodyDiv w:val="1"/>
      <w:marLeft w:val="0"/>
      <w:marRight w:val="0"/>
      <w:marTop w:val="0"/>
      <w:marBottom w:val="0"/>
      <w:divBdr>
        <w:top w:val="none" w:sz="0" w:space="0" w:color="auto"/>
        <w:left w:val="none" w:sz="0" w:space="0" w:color="auto"/>
        <w:bottom w:val="none" w:sz="0" w:space="0" w:color="auto"/>
        <w:right w:val="none" w:sz="0" w:space="0" w:color="auto"/>
      </w:divBdr>
    </w:div>
    <w:div w:id="2058621362">
      <w:bodyDiv w:val="1"/>
      <w:marLeft w:val="0"/>
      <w:marRight w:val="0"/>
      <w:marTop w:val="0"/>
      <w:marBottom w:val="0"/>
      <w:divBdr>
        <w:top w:val="none" w:sz="0" w:space="0" w:color="auto"/>
        <w:left w:val="none" w:sz="0" w:space="0" w:color="auto"/>
        <w:bottom w:val="none" w:sz="0" w:space="0" w:color="auto"/>
        <w:right w:val="none" w:sz="0" w:space="0" w:color="auto"/>
      </w:divBdr>
    </w:div>
    <w:div w:id="208352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814D3-A618-4383-8E01-CE4AE33EE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9</Pages>
  <Words>3194</Words>
  <Characters>20739</Characters>
  <Application>Microsoft Office Word</Application>
  <DocSecurity>0</DocSecurity>
  <Lines>172</Lines>
  <Paragraphs>47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Brozić Puček</dc:creator>
  <cp:keywords/>
  <dc:description/>
  <cp:lastModifiedBy>Marina Kosanović</cp:lastModifiedBy>
  <cp:revision>4</cp:revision>
  <dcterms:created xsi:type="dcterms:W3CDTF">2025-12-09T13:57:00Z</dcterms:created>
  <dcterms:modified xsi:type="dcterms:W3CDTF">2025-12-10T12:21:00Z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8a9bc0fdbf8f66191ed55abd939d1378182ed0e47bd8ee5f952dd031f6125fde</vt:lpwstr>
  </property>
</Properties>
</file>